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E5" w:rsidRDefault="0063115A" w:rsidP="0063115A">
      <w:pPr>
        <w:pStyle w:val="Heading2"/>
        <w:rPr>
          <w:i w:val="0"/>
          <w:sz w:val="22"/>
          <w:szCs w:val="22"/>
        </w:rPr>
      </w:pPr>
      <w:r>
        <w:rPr>
          <w:i w:val="0"/>
          <w:sz w:val="22"/>
          <w:szCs w:val="22"/>
        </w:rPr>
        <w:t>Contact:</w:t>
      </w:r>
    </w:p>
    <w:p w:rsidR="00F83442" w:rsidRPr="0063115A" w:rsidRDefault="00F83442" w:rsidP="0063115A">
      <w:pPr>
        <w:pStyle w:val="Heading2"/>
        <w:rPr>
          <w:i w:val="0"/>
          <w:sz w:val="22"/>
          <w:szCs w:val="22"/>
        </w:rPr>
      </w:pPr>
      <w:r w:rsidRPr="0063115A">
        <w:rPr>
          <w:i w:val="0"/>
          <w:sz w:val="22"/>
          <w:szCs w:val="22"/>
        </w:rPr>
        <w:t>Betsan Martin</w:t>
      </w:r>
      <w:r w:rsidR="0063115A" w:rsidRPr="0063115A">
        <w:rPr>
          <w:i w:val="0"/>
          <w:sz w:val="22"/>
          <w:szCs w:val="22"/>
        </w:rPr>
        <w:t>, PhD</w:t>
      </w:r>
      <w:r w:rsidR="0063115A">
        <w:rPr>
          <w:i w:val="0"/>
          <w:sz w:val="22"/>
          <w:szCs w:val="22"/>
        </w:rPr>
        <w:t xml:space="preserve">                                                                                                 </w:t>
      </w:r>
      <w:r w:rsidR="0063115A" w:rsidRPr="00E934FB">
        <w:rPr>
          <w:rFonts w:ascii="Arial" w:hAnsi="Arial"/>
          <w:noProof/>
        </w:rPr>
        <w:drawing>
          <wp:inline distT="0" distB="0" distL="0" distR="0" wp14:anchorId="12DCDA47" wp14:editId="3DAE7E1B">
            <wp:extent cx="1306195" cy="513715"/>
            <wp:effectExtent l="0" t="0" r="0" b="0"/>
            <wp:docPr id="1" name="Picture 1" descr="Logo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Final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513715"/>
                    </a:xfrm>
                    <a:prstGeom prst="rect">
                      <a:avLst/>
                    </a:prstGeom>
                    <a:noFill/>
                    <a:ln>
                      <a:noFill/>
                    </a:ln>
                  </pic:spPr>
                </pic:pic>
              </a:graphicData>
            </a:graphic>
          </wp:inline>
        </w:drawing>
      </w:r>
    </w:p>
    <w:p w:rsidR="0063115A" w:rsidRPr="0063115A" w:rsidRDefault="0063115A" w:rsidP="0063115A">
      <w:pPr>
        <w:rPr>
          <w:sz w:val="22"/>
          <w:szCs w:val="22"/>
          <w:lang w:val="en-US"/>
        </w:rPr>
      </w:pPr>
      <w:r w:rsidRPr="0063115A">
        <w:rPr>
          <w:sz w:val="22"/>
          <w:szCs w:val="22"/>
          <w:lang w:val="en-US"/>
        </w:rPr>
        <w:t>Director, Response Trust</w:t>
      </w:r>
    </w:p>
    <w:p w:rsidR="0063115A" w:rsidRPr="0063115A" w:rsidRDefault="0063115A" w:rsidP="00F83442">
      <w:pPr>
        <w:rPr>
          <w:sz w:val="22"/>
          <w:szCs w:val="22"/>
        </w:rPr>
      </w:pPr>
      <w:r w:rsidRPr="0063115A">
        <w:rPr>
          <w:sz w:val="22"/>
          <w:szCs w:val="22"/>
          <w:lang w:val="en-US"/>
        </w:rPr>
        <w:t xml:space="preserve">Research Associate, </w:t>
      </w:r>
      <w:r w:rsidRPr="0063115A">
        <w:rPr>
          <w:color w:val="4D5156"/>
          <w:sz w:val="22"/>
          <w:szCs w:val="22"/>
          <w:shd w:val="clear" w:color="auto" w:fill="FFFFFF"/>
        </w:rPr>
        <w:t>School of Geography, Environment and Earth Sciences</w:t>
      </w:r>
    </w:p>
    <w:p w:rsidR="00F83442" w:rsidRDefault="0063115A" w:rsidP="00F83442">
      <w:pPr>
        <w:rPr>
          <w:sz w:val="22"/>
          <w:szCs w:val="22"/>
          <w:lang w:val="en-US"/>
        </w:rPr>
      </w:pPr>
      <w:r w:rsidRPr="0063115A">
        <w:rPr>
          <w:sz w:val="22"/>
          <w:szCs w:val="22"/>
          <w:lang w:val="en-US"/>
        </w:rPr>
        <w:t xml:space="preserve">Victoria University of Wellington </w:t>
      </w:r>
    </w:p>
    <w:p w:rsidR="0063115A" w:rsidRDefault="00211C1B" w:rsidP="00F83442">
      <w:pPr>
        <w:rPr>
          <w:sz w:val="22"/>
          <w:szCs w:val="22"/>
          <w:lang w:val="en-US"/>
        </w:rPr>
      </w:pPr>
      <w:hyperlink r:id="rId8" w:history="1">
        <w:r w:rsidR="0063115A" w:rsidRPr="008B1F5A">
          <w:rPr>
            <w:rStyle w:val="Hyperlink"/>
            <w:sz w:val="22"/>
            <w:szCs w:val="22"/>
            <w:lang w:val="en-US"/>
          </w:rPr>
          <w:t>betsan@response.org.nz</w:t>
        </w:r>
      </w:hyperlink>
    </w:p>
    <w:p w:rsidR="00F83442" w:rsidRDefault="0063115A" w:rsidP="0063115A">
      <w:pPr>
        <w:rPr>
          <w:sz w:val="22"/>
          <w:szCs w:val="22"/>
          <w:lang w:val="en-US"/>
        </w:rPr>
      </w:pPr>
      <w:r>
        <w:rPr>
          <w:sz w:val="22"/>
          <w:szCs w:val="22"/>
          <w:lang w:val="en-US"/>
        </w:rPr>
        <w:t>+64 21 388 337</w:t>
      </w:r>
    </w:p>
    <w:p w:rsidR="00E43B94" w:rsidRPr="00245DB8" w:rsidRDefault="00E43B94" w:rsidP="00E43B94">
      <w:pPr>
        <w:jc w:val="right"/>
        <w:rPr>
          <w:b/>
          <w:sz w:val="22"/>
          <w:szCs w:val="22"/>
        </w:rPr>
      </w:pPr>
      <w:r w:rsidRPr="00245DB8">
        <w:rPr>
          <w:sz w:val="22"/>
          <w:szCs w:val="22"/>
        </w:rPr>
        <w:t>26 March 2021</w:t>
      </w:r>
    </w:p>
    <w:p w:rsidR="00287B7D" w:rsidRPr="00245DB8" w:rsidRDefault="006A5250" w:rsidP="005F644C">
      <w:pPr>
        <w:pStyle w:val="Heading2"/>
        <w:jc w:val="center"/>
        <w:rPr>
          <w:i w:val="0"/>
          <w:lang w:val="en-NZ"/>
        </w:rPr>
      </w:pPr>
      <w:r w:rsidRPr="00245DB8">
        <w:rPr>
          <w:i w:val="0"/>
          <w:lang w:val="en-NZ"/>
        </w:rPr>
        <w:t>Climate Change Consultation Submission</w:t>
      </w:r>
    </w:p>
    <w:p w:rsidR="006A5250" w:rsidRPr="00245DB8" w:rsidRDefault="006A5250" w:rsidP="005F644C"/>
    <w:p w:rsidR="0063115A" w:rsidRPr="00245DB8" w:rsidRDefault="0063115A" w:rsidP="002E2CE5">
      <w:pPr>
        <w:spacing w:line="276" w:lineRule="auto"/>
        <w:rPr>
          <w:color w:val="000000"/>
          <w:sz w:val="22"/>
          <w:szCs w:val="22"/>
          <w:lang w:eastAsia="en-NZ"/>
        </w:rPr>
      </w:pPr>
      <w:r w:rsidRPr="00245DB8">
        <w:rPr>
          <w:color w:val="000000"/>
          <w:sz w:val="22"/>
          <w:szCs w:val="22"/>
          <w:lang w:eastAsia="en-NZ"/>
        </w:rPr>
        <w:t xml:space="preserve">E </w:t>
      </w:r>
      <w:proofErr w:type="spellStart"/>
      <w:r w:rsidRPr="00245DB8">
        <w:rPr>
          <w:color w:val="000000"/>
          <w:sz w:val="22"/>
          <w:szCs w:val="22"/>
          <w:lang w:eastAsia="en-NZ"/>
        </w:rPr>
        <w:t>ngā</w:t>
      </w:r>
      <w:proofErr w:type="spellEnd"/>
      <w:r w:rsidRPr="00245DB8">
        <w:rPr>
          <w:color w:val="000000"/>
          <w:sz w:val="22"/>
          <w:szCs w:val="22"/>
          <w:lang w:eastAsia="en-NZ"/>
        </w:rPr>
        <w:t xml:space="preserve"> </w:t>
      </w:r>
      <w:proofErr w:type="spellStart"/>
      <w:r w:rsidRPr="00245DB8">
        <w:rPr>
          <w:color w:val="000000"/>
          <w:sz w:val="22"/>
          <w:szCs w:val="22"/>
          <w:lang w:eastAsia="en-NZ"/>
        </w:rPr>
        <w:t>rangatira</w:t>
      </w:r>
      <w:proofErr w:type="spellEnd"/>
      <w:r w:rsidRPr="00245DB8">
        <w:rPr>
          <w:color w:val="000000"/>
          <w:sz w:val="22"/>
          <w:szCs w:val="22"/>
          <w:lang w:eastAsia="en-NZ"/>
        </w:rPr>
        <w:t xml:space="preserve">, </w:t>
      </w:r>
      <w:proofErr w:type="spellStart"/>
      <w:r w:rsidRPr="00245DB8">
        <w:rPr>
          <w:color w:val="000000"/>
          <w:sz w:val="22"/>
          <w:szCs w:val="22"/>
          <w:lang w:eastAsia="en-NZ"/>
        </w:rPr>
        <w:t>tēnā</w:t>
      </w:r>
      <w:proofErr w:type="spellEnd"/>
      <w:r w:rsidRPr="00245DB8">
        <w:rPr>
          <w:color w:val="000000"/>
          <w:sz w:val="22"/>
          <w:szCs w:val="22"/>
          <w:lang w:eastAsia="en-NZ"/>
        </w:rPr>
        <w:t xml:space="preserve"> </w:t>
      </w:r>
      <w:proofErr w:type="spellStart"/>
      <w:r w:rsidRPr="00245DB8">
        <w:rPr>
          <w:color w:val="000000"/>
          <w:sz w:val="22"/>
          <w:szCs w:val="22"/>
          <w:lang w:eastAsia="en-NZ"/>
        </w:rPr>
        <w:t>koutou</w:t>
      </w:r>
      <w:proofErr w:type="spellEnd"/>
    </w:p>
    <w:p w:rsidR="0063115A" w:rsidRPr="00245DB8" w:rsidRDefault="0063115A" w:rsidP="002E2CE5">
      <w:pPr>
        <w:spacing w:line="276" w:lineRule="auto"/>
      </w:pPr>
    </w:p>
    <w:p w:rsidR="006A5250" w:rsidRPr="0063115A" w:rsidRDefault="00385DFC" w:rsidP="002E2CE5">
      <w:pPr>
        <w:spacing w:line="276" w:lineRule="auto"/>
        <w:jc w:val="both"/>
        <w:rPr>
          <w:color w:val="000000" w:themeColor="text1"/>
          <w:sz w:val="22"/>
          <w:szCs w:val="22"/>
        </w:rPr>
      </w:pPr>
      <w:r w:rsidRPr="0063115A">
        <w:rPr>
          <w:color w:val="000000" w:themeColor="text1"/>
          <w:sz w:val="22"/>
          <w:szCs w:val="22"/>
        </w:rPr>
        <w:t>This submission draws on the research</w:t>
      </w:r>
      <w:r w:rsidRPr="0063115A">
        <w:rPr>
          <w:i/>
          <w:color w:val="000000" w:themeColor="text1"/>
          <w:sz w:val="22"/>
          <w:szCs w:val="22"/>
        </w:rPr>
        <w:t xml:space="preserve"> Towards a Rangatiratanga Framework for the Governance of Waterways</w:t>
      </w:r>
      <w:r w:rsidR="00D35F1D">
        <w:rPr>
          <w:i/>
          <w:color w:val="000000" w:themeColor="text1"/>
          <w:sz w:val="22"/>
          <w:szCs w:val="22"/>
        </w:rPr>
        <w:t>,</w:t>
      </w:r>
      <w:r w:rsidR="00D35F1D" w:rsidRPr="0063115A">
        <w:rPr>
          <w:rStyle w:val="FootnoteReference"/>
          <w:color w:val="000000" w:themeColor="text1"/>
          <w:sz w:val="22"/>
          <w:szCs w:val="22"/>
        </w:rPr>
        <w:footnoteReference w:id="1"/>
      </w:r>
      <w:r w:rsidRPr="0063115A">
        <w:rPr>
          <w:color w:val="000000" w:themeColor="text1"/>
          <w:sz w:val="22"/>
          <w:szCs w:val="22"/>
        </w:rPr>
        <w:t xml:space="preserve"> address</w:t>
      </w:r>
      <w:r w:rsidR="00D35F1D">
        <w:rPr>
          <w:color w:val="000000" w:themeColor="text1"/>
          <w:sz w:val="22"/>
          <w:szCs w:val="22"/>
        </w:rPr>
        <w:t>ing</w:t>
      </w:r>
      <w:r w:rsidRPr="0063115A">
        <w:rPr>
          <w:color w:val="000000" w:themeColor="text1"/>
          <w:sz w:val="22"/>
          <w:szCs w:val="22"/>
        </w:rPr>
        <w:t xml:space="preserve"> the interface of water and climate change.</w:t>
      </w:r>
      <w:r w:rsidR="00D35F1D">
        <w:rPr>
          <w:rStyle w:val="FootnoteReference"/>
          <w:color w:val="000000" w:themeColor="text1"/>
          <w:szCs w:val="22"/>
        </w:rPr>
        <w:footnoteReference w:id="2"/>
      </w:r>
      <w:r w:rsidRPr="0063115A">
        <w:rPr>
          <w:color w:val="000000" w:themeColor="text1"/>
          <w:sz w:val="22"/>
          <w:szCs w:val="22"/>
        </w:rPr>
        <w:t xml:space="preserve"> </w:t>
      </w:r>
    </w:p>
    <w:p w:rsidR="00385DFC" w:rsidRPr="0063115A" w:rsidRDefault="00385DFC" w:rsidP="002E2CE5">
      <w:pPr>
        <w:spacing w:line="276" w:lineRule="auto"/>
        <w:jc w:val="both"/>
        <w:rPr>
          <w:i/>
          <w:color w:val="000000" w:themeColor="text1"/>
          <w:sz w:val="22"/>
          <w:szCs w:val="22"/>
        </w:rPr>
      </w:pPr>
    </w:p>
    <w:p w:rsidR="00385DFC" w:rsidRDefault="00385DFC" w:rsidP="002E2CE5">
      <w:pPr>
        <w:spacing w:line="276" w:lineRule="auto"/>
        <w:jc w:val="both"/>
        <w:rPr>
          <w:color w:val="000000" w:themeColor="text1"/>
          <w:sz w:val="22"/>
          <w:szCs w:val="22"/>
        </w:rPr>
      </w:pPr>
      <w:r w:rsidRPr="0063115A">
        <w:rPr>
          <w:color w:val="000000" w:themeColor="text1"/>
          <w:sz w:val="22"/>
          <w:szCs w:val="22"/>
        </w:rPr>
        <w:t>This material includes reference to the new suite of legislation</w:t>
      </w:r>
      <w:r w:rsidR="00245DB8">
        <w:rPr>
          <w:color w:val="000000" w:themeColor="text1"/>
          <w:sz w:val="22"/>
          <w:szCs w:val="22"/>
        </w:rPr>
        <w:t xml:space="preserve"> in preparation</w:t>
      </w:r>
      <w:r w:rsidRPr="0063115A">
        <w:rPr>
          <w:color w:val="000000" w:themeColor="text1"/>
          <w:sz w:val="22"/>
          <w:szCs w:val="22"/>
        </w:rPr>
        <w:t>: the Natural and Built Environment</w:t>
      </w:r>
      <w:r w:rsidR="0063115A" w:rsidRPr="0063115A">
        <w:rPr>
          <w:color w:val="000000" w:themeColor="text1"/>
          <w:sz w:val="22"/>
          <w:szCs w:val="22"/>
        </w:rPr>
        <w:t>,</w:t>
      </w:r>
      <w:r w:rsidRPr="0063115A">
        <w:rPr>
          <w:color w:val="000000" w:themeColor="text1"/>
          <w:sz w:val="22"/>
          <w:szCs w:val="22"/>
        </w:rPr>
        <w:t xml:space="preserve"> Spatial Planning and the Climate Change Adaptation Act</w:t>
      </w:r>
      <w:r w:rsidR="0063115A" w:rsidRPr="0063115A">
        <w:rPr>
          <w:color w:val="000000" w:themeColor="text1"/>
          <w:sz w:val="22"/>
          <w:szCs w:val="22"/>
        </w:rPr>
        <w:t>s.</w:t>
      </w:r>
      <w:r w:rsidR="00D35F1D">
        <w:rPr>
          <w:color w:val="000000" w:themeColor="text1"/>
          <w:sz w:val="22"/>
          <w:szCs w:val="22"/>
        </w:rPr>
        <w:t xml:space="preserve"> This is being developed from the recommendations of </w:t>
      </w:r>
      <w:r w:rsidR="00D35F1D" w:rsidRPr="00D35F1D">
        <w:rPr>
          <w:i/>
          <w:color w:val="000000" w:themeColor="text1"/>
          <w:sz w:val="22"/>
          <w:szCs w:val="22"/>
        </w:rPr>
        <w:t>New Directions for Resource Management</w:t>
      </w:r>
      <w:r w:rsidR="00D35F1D">
        <w:rPr>
          <w:color w:val="000000" w:themeColor="text1"/>
          <w:sz w:val="22"/>
          <w:szCs w:val="22"/>
        </w:rPr>
        <w:t xml:space="preserve"> (</w:t>
      </w:r>
      <w:proofErr w:type="spellStart"/>
      <w:r w:rsidR="00D35F1D">
        <w:rPr>
          <w:color w:val="000000" w:themeColor="text1"/>
          <w:sz w:val="22"/>
          <w:szCs w:val="22"/>
        </w:rPr>
        <w:t>Randerson</w:t>
      </w:r>
      <w:proofErr w:type="spellEnd"/>
      <w:r w:rsidR="00D35F1D">
        <w:rPr>
          <w:color w:val="000000" w:themeColor="text1"/>
          <w:sz w:val="22"/>
          <w:szCs w:val="22"/>
        </w:rPr>
        <w:t xml:space="preserve"> Review 2020)</w:t>
      </w:r>
      <w:r w:rsidR="00D35F1D">
        <w:rPr>
          <w:rStyle w:val="FootnoteReference"/>
          <w:color w:val="000000" w:themeColor="text1"/>
          <w:szCs w:val="22"/>
        </w:rPr>
        <w:footnoteReference w:id="3"/>
      </w:r>
    </w:p>
    <w:p w:rsidR="0063115A" w:rsidRPr="0063115A" w:rsidRDefault="0063115A" w:rsidP="002E2CE5">
      <w:pPr>
        <w:spacing w:line="276" w:lineRule="auto"/>
        <w:jc w:val="both"/>
        <w:rPr>
          <w:color w:val="000000" w:themeColor="text1"/>
          <w:sz w:val="22"/>
          <w:szCs w:val="22"/>
        </w:rPr>
      </w:pPr>
    </w:p>
    <w:p w:rsidR="008A7F9A" w:rsidRDefault="00385DFC" w:rsidP="002E2CE5">
      <w:pPr>
        <w:spacing w:line="276" w:lineRule="auto"/>
        <w:jc w:val="both"/>
        <w:rPr>
          <w:color w:val="000000" w:themeColor="text1"/>
          <w:sz w:val="22"/>
          <w:szCs w:val="22"/>
        </w:rPr>
      </w:pPr>
      <w:r w:rsidRPr="0063115A">
        <w:rPr>
          <w:color w:val="000000" w:themeColor="text1"/>
          <w:sz w:val="22"/>
          <w:szCs w:val="22"/>
        </w:rPr>
        <w:t xml:space="preserve">The research </w:t>
      </w:r>
      <w:r w:rsidR="00245DB8">
        <w:rPr>
          <w:color w:val="000000" w:themeColor="text1"/>
          <w:sz w:val="22"/>
          <w:szCs w:val="22"/>
        </w:rPr>
        <w:t xml:space="preserve">elaborates </w:t>
      </w:r>
      <w:r w:rsidRPr="0063115A">
        <w:rPr>
          <w:color w:val="000000" w:themeColor="text1"/>
          <w:sz w:val="22"/>
          <w:szCs w:val="22"/>
        </w:rPr>
        <w:t>a</w:t>
      </w:r>
      <w:r w:rsidR="002C2D9A" w:rsidRPr="0063115A">
        <w:rPr>
          <w:color w:val="000000" w:themeColor="text1"/>
          <w:sz w:val="22"/>
          <w:szCs w:val="22"/>
        </w:rPr>
        <w:t xml:space="preserve"> </w:t>
      </w:r>
      <w:r w:rsidR="00245DB8">
        <w:rPr>
          <w:color w:val="000000" w:themeColor="text1"/>
          <w:sz w:val="22"/>
          <w:szCs w:val="22"/>
        </w:rPr>
        <w:t xml:space="preserve">proposal for a </w:t>
      </w:r>
      <w:r w:rsidR="002C2D9A" w:rsidRPr="0063115A">
        <w:rPr>
          <w:color w:val="000000" w:themeColor="text1"/>
          <w:sz w:val="22"/>
          <w:szCs w:val="22"/>
        </w:rPr>
        <w:t>Wate</w:t>
      </w:r>
      <w:r w:rsidR="000F655E" w:rsidRPr="0063115A">
        <w:rPr>
          <w:color w:val="000000" w:themeColor="text1"/>
          <w:sz w:val="22"/>
          <w:szCs w:val="22"/>
        </w:rPr>
        <w:t>r</w:t>
      </w:r>
      <w:r w:rsidR="002C2D9A" w:rsidRPr="0063115A">
        <w:rPr>
          <w:color w:val="000000" w:themeColor="text1"/>
          <w:sz w:val="22"/>
          <w:szCs w:val="22"/>
        </w:rPr>
        <w:t>ways Commission as recommended by the Waitangi Tribunal</w:t>
      </w:r>
      <w:r w:rsidR="00245DB8">
        <w:rPr>
          <w:color w:val="000000" w:themeColor="text1"/>
          <w:sz w:val="22"/>
          <w:szCs w:val="22"/>
        </w:rPr>
        <w:t>.</w:t>
      </w:r>
      <w:r w:rsidR="002C2D9A" w:rsidRPr="0063115A">
        <w:rPr>
          <w:rStyle w:val="FootnoteReference"/>
          <w:color w:val="000000" w:themeColor="text1"/>
          <w:sz w:val="22"/>
          <w:szCs w:val="22"/>
        </w:rPr>
        <w:footnoteReference w:id="4"/>
      </w:r>
      <w:r w:rsidR="002C2D9A" w:rsidRPr="0063115A">
        <w:rPr>
          <w:color w:val="000000" w:themeColor="text1"/>
          <w:sz w:val="22"/>
          <w:szCs w:val="22"/>
          <w:vertAlign w:val="superscript"/>
        </w:rPr>
        <w:t xml:space="preserve"> </w:t>
      </w:r>
      <w:r w:rsidRPr="0063115A">
        <w:rPr>
          <w:color w:val="000000" w:themeColor="text1"/>
          <w:sz w:val="22"/>
          <w:szCs w:val="22"/>
        </w:rPr>
        <w:t xml:space="preserve"> </w:t>
      </w:r>
      <w:r w:rsidR="00245DB8">
        <w:rPr>
          <w:color w:val="000000" w:themeColor="text1"/>
          <w:sz w:val="22"/>
          <w:szCs w:val="22"/>
        </w:rPr>
        <w:t xml:space="preserve">Such a Commission would need to have an integrative role with Climate Change </w:t>
      </w:r>
      <w:proofErr w:type="spellStart"/>
      <w:r w:rsidR="00245DB8">
        <w:rPr>
          <w:color w:val="000000" w:themeColor="text1"/>
          <w:sz w:val="22"/>
          <w:szCs w:val="22"/>
        </w:rPr>
        <w:t>esponse</w:t>
      </w:r>
      <w:proofErr w:type="spellEnd"/>
      <w:r w:rsidR="00245DB8">
        <w:rPr>
          <w:color w:val="000000" w:themeColor="text1"/>
          <w:sz w:val="22"/>
          <w:szCs w:val="22"/>
        </w:rPr>
        <w:t xml:space="preserve"> (Zero Carbon) Act and the Climate Change Adaptation Act.  The new legislation will  introduce a new planning framework with l</w:t>
      </w:r>
      <w:r w:rsidR="000F655E" w:rsidRPr="0063115A">
        <w:rPr>
          <w:color w:val="000000" w:themeColor="text1"/>
          <w:sz w:val="22"/>
          <w:szCs w:val="22"/>
        </w:rPr>
        <w:t xml:space="preserve">ikely provisions </w:t>
      </w:r>
      <w:r w:rsidR="00245DB8">
        <w:rPr>
          <w:color w:val="000000" w:themeColor="text1"/>
          <w:sz w:val="22"/>
          <w:szCs w:val="22"/>
        </w:rPr>
        <w:t xml:space="preserve">for </w:t>
      </w:r>
      <w:r w:rsidR="000F655E" w:rsidRPr="0063115A">
        <w:rPr>
          <w:color w:val="000000" w:themeColor="text1"/>
          <w:sz w:val="22"/>
          <w:szCs w:val="22"/>
        </w:rPr>
        <w:t xml:space="preserve">‘giving effect to [the Principles of] </w:t>
      </w:r>
      <w:proofErr w:type="spellStart"/>
      <w:r w:rsidR="000F655E" w:rsidRPr="0063115A">
        <w:rPr>
          <w:color w:val="000000" w:themeColor="text1"/>
          <w:sz w:val="22"/>
          <w:szCs w:val="22"/>
        </w:rPr>
        <w:t>Te</w:t>
      </w:r>
      <w:proofErr w:type="spellEnd"/>
      <w:r w:rsidR="000F655E" w:rsidRPr="0063115A">
        <w:rPr>
          <w:color w:val="000000" w:themeColor="text1"/>
          <w:sz w:val="22"/>
          <w:szCs w:val="22"/>
        </w:rPr>
        <w:t xml:space="preserve"> </w:t>
      </w:r>
      <w:proofErr w:type="spellStart"/>
      <w:r w:rsidR="000F655E" w:rsidRPr="0063115A">
        <w:rPr>
          <w:color w:val="000000" w:themeColor="text1"/>
          <w:sz w:val="22"/>
          <w:szCs w:val="22"/>
        </w:rPr>
        <w:t>Tiriti</w:t>
      </w:r>
      <w:proofErr w:type="spellEnd"/>
      <w:r w:rsidR="000F655E" w:rsidRPr="0063115A">
        <w:rPr>
          <w:color w:val="000000" w:themeColor="text1"/>
          <w:sz w:val="22"/>
          <w:szCs w:val="22"/>
        </w:rPr>
        <w:t xml:space="preserve"> o Waitangi’ and </w:t>
      </w:r>
      <w:proofErr w:type="spellStart"/>
      <w:r w:rsidR="000F655E" w:rsidRPr="0063115A">
        <w:rPr>
          <w:color w:val="000000" w:themeColor="text1"/>
          <w:sz w:val="22"/>
          <w:szCs w:val="22"/>
        </w:rPr>
        <w:t>Te</w:t>
      </w:r>
      <w:proofErr w:type="spellEnd"/>
      <w:r w:rsidR="000F655E" w:rsidRPr="0063115A">
        <w:rPr>
          <w:color w:val="000000" w:themeColor="text1"/>
          <w:sz w:val="22"/>
          <w:szCs w:val="22"/>
        </w:rPr>
        <w:t xml:space="preserve"> Mana o </w:t>
      </w:r>
      <w:proofErr w:type="spellStart"/>
      <w:r w:rsidR="000F655E" w:rsidRPr="0063115A">
        <w:rPr>
          <w:color w:val="000000" w:themeColor="text1"/>
          <w:sz w:val="22"/>
          <w:szCs w:val="22"/>
        </w:rPr>
        <w:t>Te</w:t>
      </w:r>
      <w:proofErr w:type="spellEnd"/>
      <w:r w:rsidR="000F655E" w:rsidRPr="0063115A">
        <w:rPr>
          <w:color w:val="000000" w:themeColor="text1"/>
          <w:sz w:val="22"/>
          <w:szCs w:val="22"/>
        </w:rPr>
        <w:t xml:space="preserve"> Tai </w:t>
      </w:r>
      <w:proofErr w:type="spellStart"/>
      <w:r w:rsidR="000F655E" w:rsidRPr="0063115A">
        <w:rPr>
          <w:color w:val="000000" w:themeColor="text1"/>
          <w:sz w:val="22"/>
          <w:szCs w:val="22"/>
        </w:rPr>
        <w:t>Ao</w:t>
      </w:r>
      <w:proofErr w:type="spellEnd"/>
      <w:r w:rsidR="000F655E" w:rsidRPr="0063115A">
        <w:rPr>
          <w:color w:val="000000" w:themeColor="text1"/>
          <w:sz w:val="22"/>
          <w:szCs w:val="22"/>
        </w:rPr>
        <w:t>, as including protection of air, land, soil and water</w:t>
      </w:r>
      <w:r w:rsidR="00245DB8">
        <w:rPr>
          <w:color w:val="000000" w:themeColor="text1"/>
          <w:sz w:val="22"/>
          <w:szCs w:val="22"/>
        </w:rPr>
        <w:t xml:space="preserve">. </w:t>
      </w:r>
      <w:r w:rsidR="000F655E" w:rsidRPr="0063115A">
        <w:rPr>
          <w:color w:val="000000" w:themeColor="text1"/>
          <w:sz w:val="22"/>
          <w:szCs w:val="22"/>
        </w:rPr>
        <w:t xml:space="preserve"> </w:t>
      </w:r>
    </w:p>
    <w:p w:rsidR="00D35F1D" w:rsidRDefault="00D35F1D" w:rsidP="002E2CE5">
      <w:pPr>
        <w:spacing w:line="276" w:lineRule="auto"/>
        <w:jc w:val="both"/>
        <w:rPr>
          <w:color w:val="000000" w:themeColor="text1"/>
          <w:sz w:val="22"/>
          <w:szCs w:val="22"/>
        </w:rPr>
      </w:pPr>
    </w:p>
    <w:p w:rsidR="00D35F1D" w:rsidRPr="0063115A" w:rsidRDefault="00D35F1D" w:rsidP="002E2CE5">
      <w:pPr>
        <w:spacing w:line="276" w:lineRule="auto"/>
        <w:jc w:val="both"/>
        <w:rPr>
          <w:color w:val="000000" w:themeColor="text1"/>
          <w:sz w:val="22"/>
          <w:szCs w:val="22"/>
        </w:rPr>
      </w:pPr>
      <w:r w:rsidRPr="0063115A">
        <w:rPr>
          <w:color w:val="000000" w:themeColor="text1"/>
          <w:sz w:val="22"/>
          <w:szCs w:val="22"/>
        </w:rPr>
        <w:t xml:space="preserve">The </w:t>
      </w:r>
      <w:r w:rsidRPr="0063115A">
        <w:rPr>
          <w:i/>
          <w:color w:val="000000" w:themeColor="text1"/>
          <w:sz w:val="22"/>
          <w:szCs w:val="22"/>
        </w:rPr>
        <w:t>New Directions</w:t>
      </w:r>
      <w:r w:rsidRPr="0063115A">
        <w:rPr>
          <w:color w:val="000000" w:themeColor="text1"/>
          <w:sz w:val="22"/>
          <w:szCs w:val="22"/>
        </w:rPr>
        <w:t xml:space="preserve"> review proposes remedies for alignment with </w:t>
      </w:r>
      <w:r w:rsidRPr="0063115A">
        <w:rPr>
          <w:rStyle w:val="ssleftalign"/>
          <w:color w:val="000000" w:themeColor="text1"/>
          <w:sz w:val="22"/>
          <w:szCs w:val="22"/>
        </w:rPr>
        <w:t>Climate Change Response (Zero Carbon) Amendment Act 2019</w:t>
      </w:r>
      <w:r w:rsidRPr="0063115A">
        <w:rPr>
          <w:color w:val="000000" w:themeColor="text1"/>
          <w:sz w:val="22"/>
          <w:szCs w:val="22"/>
        </w:rPr>
        <w:t xml:space="preserve">. Considering the connection of climate change on the </w:t>
      </w:r>
      <w:proofErr w:type="spellStart"/>
      <w:r w:rsidRPr="0063115A">
        <w:rPr>
          <w:color w:val="000000" w:themeColor="text1"/>
          <w:sz w:val="22"/>
          <w:szCs w:val="22"/>
        </w:rPr>
        <w:t>hydrolic</w:t>
      </w:r>
      <w:proofErr w:type="spellEnd"/>
      <w:r w:rsidRPr="0063115A">
        <w:rPr>
          <w:color w:val="000000" w:themeColor="text1"/>
          <w:sz w:val="22"/>
          <w:szCs w:val="22"/>
        </w:rPr>
        <w:t xml:space="preserve"> cycle in respect of droughts and floods, there needs to be policy that takes account of uncertainty in planning and with robust systems for evaluating emissions across supply chains and whole life cycle of projects.  </w:t>
      </w:r>
    </w:p>
    <w:p w:rsidR="008A7F9A" w:rsidRDefault="008A7F9A" w:rsidP="002E2CE5">
      <w:pPr>
        <w:spacing w:line="276" w:lineRule="auto"/>
        <w:jc w:val="both"/>
        <w:rPr>
          <w:color w:val="000000" w:themeColor="text1"/>
          <w:sz w:val="22"/>
          <w:szCs w:val="22"/>
        </w:rPr>
      </w:pPr>
    </w:p>
    <w:p w:rsidR="00245DB8" w:rsidRPr="0063115A" w:rsidRDefault="00245DB8" w:rsidP="00245DB8">
      <w:pPr>
        <w:spacing w:line="276" w:lineRule="auto"/>
        <w:jc w:val="both"/>
        <w:rPr>
          <w:color w:val="000000" w:themeColor="text1"/>
          <w:sz w:val="22"/>
          <w:szCs w:val="22"/>
        </w:rPr>
      </w:pPr>
      <w:r w:rsidRPr="0063115A">
        <w:rPr>
          <w:color w:val="000000" w:themeColor="text1"/>
          <w:sz w:val="22"/>
          <w:szCs w:val="22"/>
        </w:rPr>
        <w:t xml:space="preserve">Clearly a Waterways Commission is domain specific with the need for remedial attention to the governance of waterways, whereas </w:t>
      </w:r>
      <w:r w:rsidR="00D35F1D">
        <w:rPr>
          <w:color w:val="000000" w:themeColor="text1"/>
          <w:sz w:val="22"/>
          <w:szCs w:val="22"/>
        </w:rPr>
        <w:t>broadening the scope to a</w:t>
      </w:r>
      <w:r w:rsidRPr="0063115A">
        <w:rPr>
          <w:color w:val="000000" w:themeColor="text1"/>
          <w:sz w:val="22"/>
          <w:szCs w:val="22"/>
        </w:rPr>
        <w:t xml:space="preserve"> </w:t>
      </w:r>
      <w:proofErr w:type="spellStart"/>
      <w:r w:rsidRPr="0063115A">
        <w:rPr>
          <w:color w:val="000000" w:themeColor="text1"/>
          <w:sz w:val="22"/>
          <w:szCs w:val="22"/>
        </w:rPr>
        <w:t>Te</w:t>
      </w:r>
      <w:proofErr w:type="spellEnd"/>
      <w:r w:rsidRPr="0063115A">
        <w:rPr>
          <w:color w:val="000000" w:themeColor="text1"/>
          <w:sz w:val="22"/>
          <w:szCs w:val="22"/>
        </w:rPr>
        <w:t xml:space="preserve"> Mana o </w:t>
      </w:r>
      <w:proofErr w:type="spellStart"/>
      <w:r w:rsidRPr="0063115A">
        <w:rPr>
          <w:color w:val="000000" w:themeColor="text1"/>
          <w:sz w:val="22"/>
          <w:szCs w:val="22"/>
        </w:rPr>
        <w:t>Te</w:t>
      </w:r>
      <w:proofErr w:type="spellEnd"/>
      <w:r w:rsidRPr="0063115A">
        <w:rPr>
          <w:color w:val="000000" w:themeColor="text1"/>
          <w:sz w:val="22"/>
          <w:szCs w:val="22"/>
        </w:rPr>
        <w:t xml:space="preserve"> Tai </w:t>
      </w:r>
      <w:proofErr w:type="spellStart"/>
      <w:r w:rsidRPr="0063115A">
        <w:rPr>
          <w:color w:val="000000" w:themeColor="text1"/>
          <w:sz w:val="22"/>
          <w:szCs w:val="22"/>
        </w:rPr>
        <w:t>Ao</w:t>
      </w:r>
      <w:proofErr w:type="spellEnd"/>
      <w:r w:rsidRPr="0063115A">
        <w:rPr>
          <w:color w:val="000000" w:themeColor="text1"/>
          <w:sz w:val="22"/>
          <w:szCs w:val="22"/>
        </w:rPr>
        <w:t xml:space="preserve"> Commission is more systemic in scope. In either case, climate change needs to be fully integrated as a cross-cutting matter for integration into all resource governance and policy. </w:t>
      </w:r>
    </w:p>
    <w:p w:rsidR="007B6164" w:rsidRPr="00F83442" w:rsidRDefault="007B6164" w:rsidP="002E2CE5">
      <w:pPr>
        <w:spacing w:line="276" w:lineRule="auto"/>
        <w:jc w:val="both"/>
        <w:rPr>
          <w:b/>
          <w:color w:val="000000" w:themeColor="text1"/>
        </w:rPr>
      </w:pPr>
    </w:p>
    <w:p w:rsidR="008A7F9A" w:rsidRPr="00F83442" w:rsidRDefault="008A7F9A" w:rsidP="002E2CE5">
      <w:pPr>
        <w:spacing w:line="276" w:lineRule="auto"/>
        <w:jc w:val="both"/>
        <w:rPr>
          <w:b/>
          <w:i/>
          <w:color w:val="000000" w:themeColor="text1"/>
        </w:rPr>
      </w:pPr>
      <w:r w:rsidRPr="00F83442">
        <w:rPr>
          <w:b/>
          <w:i/>
          <w:color w:val="000000" w:themeColor="text1"/>
        </w:rPr>
        <w:t>Climate Change and Water</w:t>
      </w:r>
    </w:p>
    <w:p w:rsidR="005F644C" w:rsidRPr="00F83442" w:rsidRDefault="005F644C" w:rsidP="002E2CE5">
      <w:pPr>
        <w:spacing w:line="276" w:lineRule="auto"/>
        <w:jc w:val="both"/>
        <w:rPr>
          <w:color w:val="000000" w:themeColor="text1"/>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In the knowledge that when we take care of land and water they will take care of us, this research seeks provision for systems that rehabilitate people with land and waterways. At the same time it is positioned for the pragmatics of law and policy and takes account of wider issues including planning systems and climate change. </w:t>
      </w:r>
    </w:p>
    <w:p w:rsidR="006A5250" w:rsidRPr="0063115A" w:rsidRDefault="006A5250" w:rsidP="002E2CE5">
      <w:pPr>
        <w:spacing w:line="276" w:lineRule="auto"/>
        <w:jc w:val="both"/>
        <w:rPr>
          <w:b/>
          <w:i/>
          <w:color w:val="000000" w:themeColor="text1"/>
          <w:sz w:val="22"/>
          <w:szCs w:val="22"/>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Climate change and the dramatic intervention of the pandemic both urge for a radical shift from the current resource management frameworks with cost-benefit analysis, demand and supply economics, externalities which discount pollution and human as well as environmental impacts of development,  and sovereign rights over private property. </w:t>
      </w:r>
    </w:p>
    <w:p w:rsidR="006A5250" w:rsidRPr="0063115A" w:rsidRDefault="006A5250" w:rsidP="002E2CE5">
      <w:pPr>
        <w:spacing w:line="276" w:lineRule="auto"/>
        <w:jc w:val="both"/>
        <w:rPr>
          <w:color w:val="000000" w:themeColor="text1"/>
          <w:sz w:val="22"/>
          <w:szCs w:val="22"/>
        </w:rPr>
      </w:pPr>
    </w:p>
    <w:p w:rsidR="00F83442"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The complexity of interconnected ecosystems and indirect local effects of anthropogenic warming call for new thinking and policy that recognize interdependence between humans and nature, including at the global scale.   Cross currents of change show the tensions of mismatched systems, policy out of step with the situation at hand, and the inadequacy of anthropocentric world views. </w:t>
      </w:r>
    </w:p>
    <w:p w:rsidR="00F83442" w:rsidRPr="0063115A" w:rsidRDefault="00F83442" w:rsidP="002E2CE5">
      <w:pPr>
        <w:spacing w:line="276" w:lineRule="auto"/>
        <w:jc w:val="both"/>
        <w:rPr>
          <w:color w:val="000000" w:themeColor="text1"/>
          <w:sz w:val="22"/>
          <w:szCs w:val="22"/>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Presently tensions arise from the interaction between regulation for  public good which can seem to encroach on private property rights. New regulation over agricultural land such as stream fencing on farms in order to meet the requirements for the health of water, and new planning to address the housing crisis are two examples of the regulatory interface of private property and common good resources.</w:t>
      </w:r>
      <w:r w:rsidRPr="0063115A">
        <w:rPr>
          <w:rStyle w:val="FootnoteReference"/>
          <w:color w:val="000000" w:themeColor="text1"/>
          <w:sz w:val="22"/>
          <w:szCs w:val="22"/>
        </w:rPr>
        <w:footnoteReference w:id="5"/>
      </w:r>
      <w:r w:rsidRPr="0063115A">
        <w:rPr>
          <w:color w:val="000000" w:themeColor="text1"/>
          <w:sz w:val="22"/>
          <w:szCs w:val="22"/>
        </w:rPr>
        <w:t xml:space="preserve"> The divide cannot be absolute because the degradation of common goods is often the result of regulation that allows for private property rights that result in degraded waterways, such as through the overallocation of water.   </w:t>
      </w:r>
    </w:p>
    <w:p w:rsidR="006A5250" w:rsidRPr="0063115A" w:rsidRDefault="006A5250" w:rsidP="002E2CE5">
      <w:pPr>
        <w:spacing w:line="276" w:lineRule="auto"/>
        <w:jc w:val="both"/>
        <w:rPr>
          <w:color w:val="000000" w:themeColor="text1"/>
          <w:sz w:val="22"/>
          <w:szCs w:val="22"/>
        </w:rPr>
      </w:pPr>
    </w:p>
    <w:p w:rsidR="006A5250" w:rsidRPr="00F83442" w:rsidRDefault="006A5250" w:rsidP="002E2CE5">
      <w:pPr>
        <w:pStyle w:val="Heading2"/>
        <w:rPr>
          <w:b/>
          <w:color w:val="000000" w:themeColor="text1"/>
          <w:sz w:val="24"/>
          <w:szCs w:val="24"/>
        </w:rPr>
      </w:pPr>
      <w:r w:rsidRPr="00F83442">
        <w:rPr>
          <w:b/>
          <w:color w:val="000000" w:themeColor="text1"/>
          <w:sz w:val="24"/>
          <w:szCs w:val="24"/>
        </w:rPr>
        <w:t xml:space="preserve">Climate </w:t>
      </w:r>
      <w:r w:rsidR="005F644C" w:rsidRPr="00F83442">
        <w:rPr>
          <w:b/>
          <w:color w:val="000000" w:themeColor="text1"/>
          <w:sz w:val="24"/>
          <w:szCs w:val="24"/>
        </w:rPr>
        <w:t>C</w:t>
      </w:r>
      <w:r w:rsidRPr="00F83442">
        <w:rPr>
          <w:b/>
          <w:color w:val="000000" w:themeColor="text1"/>
          <w:sz w:val="24"/>
          <w:szCs w:val="24"/>
        </w:rPr>
        <w:t>hange</w:t>
      </w:r>
      <w:r w:rsidR="008A7F9A" w:rsidRPr="00F83442">
        <w:rPr>
          <w:b/>
          <w:color w:val="000000" w:themeColor="text1"/>
          <w:sz w:val="24"/>
          <w:szCs w:val="24"/>
        </w:rPr>
        <w:t>: IPCC</w:t>
      </w:r>
    </w:p>
    <w:p w:rsidR="006A5250" w:rsidRPr="00F83442" w:rsidRDefault="006A5250" w:rsidP="002E2CE5">
      <w:pPr>
        <w:spacing w:line="276" w:lineRule="auto"/>
        <w:rPr>
          <w:lang w:val="en-US"/>
        </w:rPr>
      </w:pPr>
    </w:p>
    <w:p w:rsidR="00F83442" w:rsidRPr="0063115A" w:rsidRDefault="006A5250" w:rsidP="002E2CE5">
      <w:pPr>
        <w:spacing w:line="276" w:lineRule="auto"/>
        <w:jc w:val="both"/>
        <w:rPr>
          <w:color w:val="000000" w:themeColor="text1"/>
          <w:sz w:val="22"/>
          <w:szCs w:val="22"/>
        </w:rPr>
      </w:pPr>
      <w:r w:rsidRPr="0063115A">
        <w:rPr>
          <w:color w:val="000000" w:themeColor="text1"/>
          <w:sz w:val="22"/>
          <w:szCs w:val="22"/>
        </w:rPr>
        <w:t>Climate change is shifting the patterns of rainfall and bringing new conditions of floods, droughts and temperatures. The IPCC is assessing the human influences on the water cycle with attention to feedbacks from land processes at small scales and the global scale of the water cycle.  Changes in land use and in irrigation have direct effects  more indirect biophysical effects of seasonal changes in liquid water, ice and snow, and in cyclones, droughts and floods or wet extremes. The forthcoming Assessment Report on climate change and water, AR6 will build on the 2008 Climate Change and Water paper</w:t>
      </w:r>
      <w:r w:rsidRPr="0063115A">
        <w:rPr>
          <w:rStyle w:val="FootnoteReference"/>
          <w:color w:val="000000" w:themeColor="text1"/>
          <w:sz w:val="22"/>
          <w:szCs w:val="22"/>
        </w:rPr>
        <w:footnoteReference w:id="6"/>
      </w:r>
      <w:r w:rsidRPr="0063115A">
        <w:rPr>
          <w:color w:val="000000" w:themeColor="text1"/>
          <w:sz w:val="22"/>
          <w:szCs w:val="22"/>
        </w:rPr>
        <w:t xml:space="preserve"> which documents changes in ice, the cryosphere, and  projections for intensified flooding and drought globally and regionally, as well as the Special Report on </w:t>
      </w:r>
      <w:r w:rsidRPr="0063115A">
        <w:rPr>
          <w:i/>
          <w:color w:val="000000" w:themeColor="text1"/>
          <w:sz w:val="22"/>
          <w:szCs w:val="22"/>
        </w:rPr>
        <w:t>Climate Change and Land</w:t>
      </w:r>
      <w:r w:rsidRPr="0063115A">
        <w:rPr>
          <w:color w:val="000000" w:themeColor="text1"/>
          <w:sz w:val="22"/>
          <w:szCs w:val="22"/>
        </w:rPr>
        <w:t>.</w:t>
      </w:r>
      <w:r w:rsidRPr="0063115A">
        <w:rPr>
          <w:rStyle w:val="FootnoteReference"/>
          <w:color w:val="000000" w:themeColor="text1"/>
          <w:sz w:val="22"/>
          <w:szCs w:val="22"/>
        </w:rPr>
        <w:footnoteReference w:id="7"/>
      </w:r>
      <w:r w:rsidRPr="0063115A">
        <w:rPr>
          <w:color w:val="000000" w:themeColor="text1"/>
          <w:sz w:val="22"/>
          <w:szCs w:val="22"/>
        </w:rPr>
        <w:t xml:space="preserve"> </w:t>
      </w:r>
    </w:p>
    <w:p w:rsidR="00F83442" w:rsidRPr="0063115A" w:rsidRDefault="00F83442" w:rsidP="002E2CE5">
      <w:pPr>
        <w:spacing w:line="276" w:lineRule="auto"/>
        <w:jc w:val="both"/>
        <w:rPr>
          <w:color w:val="000000" w:themeColor="text1"/>
          <w:sz w:val="22"/>
          <w:szCs w:val="22"/>
        </w:rPr>
      </w:pPr>
    </w:p>
    <w:p w:rsidR="006A5250" w:rsidRPr="0063115A" w:rsidRDefault="00F83442" w:rsidP="002E2CE5">
      <w:pPr>
        <w:spacing w:line="276" w:lineRule="auto"/>
        <w:jc w:val="both"/>
        <w:rPr>
          <w:color w:val="000000" w:themeColor="text1"/>
          <w:sz w:val="22"/>
          <w:szCs w:val="22"/>
        </w:rPr>
      </w:pPr>
      <w:r w:rsidRPr="0063115A">
        <w:rPr>
          <w:i/>
          <w:color w:val="000000" w:themeColor="text1"/>
          <w:sz w:val="22"/>
          <w:szCs w:val="22"/>
        </w:rPr>
        <w:t>Climate Change and Land</w:t>
      </w:r>
      <w:r w:rsidRPr="0063115A">
        <w:rPr>
          <w:color w:val="000000" w:themeColor="text1"/>
          <w:sz w:val="22"/>
          <w:szCs w:val="22"/>
        </w:rPr>
        <w:t xml:space="preserve"> </w:t>
      </w:r>
      <w:r w:rsidR="006A5250" w:rsidRPr="0063115A">
        <w:rPr>
          <w:color w:val="000000" w:themeColor="text1"/>
          <w:sz w:val="22"/>
          <w:szCs w:val="22"/>
        </w:rPr>
        <w:t xml:space="preserve">identifies the interactions between desertification, land degradation, sustainable management, food security and greenhouses gas influences on terrestrial ecosystems.  The scale of impacts will vary regionally in accordance with changes in the water cycle – this in turn is influenced by vegetation cover, urbanization, and land degradation from the certainty of intensified rainfall including heavy rainfall events. </w:t>
      </w: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 </w:t>
      </w:r>
    </w:p>
    <w:p w:rsidR="006A5250" w:rsidRPr="0063115A" w:rsidRDefault="006A5250" w:rsidP="002E2CE5">
      <w:pPr>
        <w:spacing w:line="276" w:lineRule="auto"/>
        <w:ind w:left="720"/>
        <w:jc w:val="both"/>
        <w:rPr>
          <w:sz w:val="22"/>
          <w:szCs w:val="22"/>
        </w:rPr>
      </w:pPr>
      <w:r w:rsidRPr="0063115A">
        <w:rPr>
          <w:sz w:val="22"/>
          <w:szCs w:val="22"/>
        </w:rPr>
        <w:t>Land is both a source and a sink of GHGs and plays a key role in the exchange of energy, water and aerosols between the land surface and atmosphere. Land ecosystems and biodiversity are vulnerable to ongoing climate change, and weather and climate extremes, to different extents.</w:t>
      </w:r>
    </w:p>
    <w:p w:rsidR="006A5250" w:rsidRPr="0063115A" w:rsidRDefault="006A5250" w:rsidP="002E2CE5">
      <w:pPr>
        <w:spacing w:line="276" w:lineRule="auto"/>
        <w:jc w:val="both"/>
        <w:rPr>
          <w:color w:val="000000" w:themeColor="text1"/>
          <w:sz w:val="22"/>
          <w:szCs w:val="22"/>
        </w:rPr>
      </w:pPr>
    </w:p>
    <w:p w:rsidR="006A5250" w:rsidRPr="0063115A" w:rsidRDefault="006A5250" w:rsidP="002E2CE5">
      <w:pPr>
        <w:spacing w:line="276" w:lineRule="auto"/>
        <w:jc w:val="both"/>
        <w:rPr>
          <w:sz w:val="22"/>
          <w:szCs w:val="22"/>
        </w:rPr>
      </w:pPr>
      <w:r w:rsidRPr="0063115A">
        <w:rPr>
          <w:sz w:val="22"/>
          <w:szCs w:val="22"/>
        </w:rPr>
        <w:t xml:space="preserve">The IPCC analysis  refers to diminished food security due to warming, changing rain patterns, and frequency of extreme weather events. There are both positive and negative effects on crop yields depending on latitudes. These in turn effect animal based productivity and infestations of agricultural pests and diseases. An assessment of emissions and sinks from agriculture, forestry and other land use including the global system of food production (transport, </w:t>
      </w:r>
      <w:proofErr w:type="spellStart"/>
      <w:r w:rsidRPr="0063115A">
        <w:rPr>
          <w:sz w:val="22"/>
          <w:szCs w:val="22"/>
        </w:rPr>
        <w:t>fertalisers</w:t>
      </w:r>
      <w:proofErr w:type="spellEnd"/>
      <w:r w:rsidRPr="0063115A">
        <w:rPr>
          <w:sz w:val="22"/>
          <w:szCs w:val="22"/>
        </w:rPr>
        <w:t xml:space="preserve"> etc)  are estimated to be 21-37% between 2007 and 2016.</w:t>
      </w:r>
      <w:r w:rsidRPr="0063115A">
        <w:rPr>
          <w:rStyle w:val="FootnoteReference"/>
          <w:sz w:val="22"/>
          <w:szCs w:val="22"/>
        </w:rPr>
        <w:footnoteReference w:id="8"/>
      </w:r>
      <w:r w:rsidRPr="0063115A">
        <w:rPr>
          <w:sz w:val="22"/>
          <w:szCs w:val="22"/>
        </w:rPr>
        <w:t xml:space="preserve">  </w:t>
      </w:r>
    </w:p>
    <w:p w:rsidR="006A5250" w:rsidRPr="0063115A" w:rsidRDefault="006A5250" w:rsidP="002E2CE5">
      <w:pPr>
        <w:spacing w:line="276" w:lineRule="auto"/>
        <w:jc w:val="both"/>
        <w:rPr>
          <w:color w:val="000000" w:themeColor="text1"/>
          <w:sz w:val="22"/>
          <w:szCs w:val="22"/>
        </w:rPr>
      </w:pPr>
    </w:p>
    <w:p w:rsidR="008A7F9A" w:rsidRPr="00F83442" w:rsidRDefault="008A7F9A" w:rsidP="002E2CE5">
      <w:pPr>
        <w:spacing w:line="276" w:lineRule="auto"/>
        <w:jc w:val="both"/>
        <w:rPr>
          <w:b/>
          <w:i/>
          <w:color w:val="000000" w:themeColor="text1"/>
        </w:rPr>
      </w:pPr>
      <w:r w:rsidRPr="00F83442">
        <w:rPr>
          <w:b/>
          <w:i/>
          <w:color w:val="000000" w:themeColor="text1"/>
        </w:rPr>
        <w:t>IPCC Analysis for Aotearoa</w:t>
      </w:r>
    </w:p>
    <w:p w:rsidR="005F644C" w:rsidRPr="00F83442" w:rsidRDefault="005F644C" w:rsidP="002E2CE5">
      <w:pPr>
        <w:spacing w:line="276" w:lineRule="auto"/>
        <w:jc w:val="both"/>
        <w:rPr>
          <w:color w:val="000000" w:themeColor="text1"/>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We can readily see the implications of the global patterns of climate change identified in the IPCC reports for regional contexts and to interpret these for Aotearoa. </w:t>
      </w:r>
      <w:r w:rsidRPr="0063115A">
        <w:rPr>
          <w:i/>
          <w:color w:val="000000" w:themeColor="text1"/>
          <w:sz w:val="22"/>
          <w:szCs w:val="22"/>
        </w:rPr>
        <w:t>New Directions</w:t>
      </w:r>
      <w:r w:rsidRPr="0063115A">
        <w:rPr>
          <w:color w:val="000000" w:themeColor="text1"/>
          <w:sz w:val="22"/>
          <w:szCs w:val="22"/>
        </w:rPr>
        <w:t xml:space="preserve"> 2020 gives specific proposals to bring climate change management into the framework of the new legislation. The emphasis on management of the built environment and planning for managed retreat is fitting for the legislation envisaged in the Review and offers the next step to the Climate Change Response (Zero Carbon) Act.  </w:t>
      </w:r>
    </w:p>
    <w:p w:rsidR="006A5250" w:rsidRPr="0063115A" w:rsidRDefault="006A5250" w:rsidP="002E2CE5">
      <w:pPr>
        <w:spacing w:line="276" w:lineRule="auto"/>
        <w:jc w:val="both"/>
        <w:rPr>
          <w:color w:val="000000" w:themeColor="text1"/>
          <w:sz w:val="22"/>
          <w:szCs w:val="22"/>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Provisions for central and local government to have the powers to modify or terminate existing consented activities is essential to an adaptive system that can respond to uncertainty and change.  These have the added benefit of introducing mechanisms needed for transitions in consenting to retire consents that are environmentally detrimental and bring in a new criteria based allocation system. Modification of consents requires national oversight along with regional council and territorial authority capacity to review and adjust consents for land uses in accordance with catchment context and sustainability.</w:t>
      </w:r>
      <w:r w:rsidRPr="0063115A">
        <w:rPr>
          <w:rStyle w:val="FootnoteReference"/>
          <w:color w:val="000000" w:themeColor="text1"/>
          <w:sz w:val="22"/>
          <w:szCs w:val="22"/>
        </w:rPr>
        <w:footnoteReference w:id="9"/>
      </w:r>
      <w:r w:rsidRPr="0063115A">
        <w:rPr>
          <w:color w:val="000000" w:themeColor="text1"/>
          <w:sz w:val="22"/>
          <w:szCs w:val="22"/>
        </w:rPr>
        <w:t xml:space="preserve"> </w:t>
      </w:r>
    </w:p>
    <w:p w:rsidR="006A5250" w:rsidRPr="0063115A" w:rsidRDefault="006A5250" w:rsidP="002E2CE5">
      <w:pPr>
        <w:spacing w:line="276" w:lineRule="auto"/>
        <w:jc w:val="both"/>
        <w:rPr>
          <w:color w:val="000000" w:themeColor="text1"/>
          <w:sz w:val="22"/>
          <w:szCs w:val="22"/>
        </w:rPr>
      </w:pPr>
    </w:p>
    <w:p w:rsidR="003F64E2" w:rsidRPr="0063115A" w:rsidRDefault="006A5250" w:rsidP="002E2CE5">
      <w:pPr>
        <w:spacing w:line="276" w:lineRule="auto"/>
        <w:jc w:val="both"/>
        <w:rPr>
          <w:color w:val="000000" w:themeColor="text1"/>
          <w:sz w:val="22"/>
          <w:szCs w:val="22"/>
        </w:rPr>
      </w:pPr>
      <w:r w:rsidRPr="0063115A">
        <w:rPr>
          <w:i/>
          <w:color w:val="000000" w:themeColor="text1"/>
          <w:sz w:val="22"/>
          <w:szCs w:val="22"/>
        </w:rPr>
        <w:t>New Directions</w:t>
      </w:r>
      <w:r w:rsidRPr="0063115A">
        <w:rPr>
          <w:color w:val="000000" w:themeColor="text1"/>
          <w:sz w:val="22"/>
          <w:szCs w:val="22"/>
        </w:rPr>
        <w:t xml:space="preserve"> 2020 does not elaborate on consents and for land management food security and the close association of these with anticipated changes in freshwater supply and the threat of crop failures.  The scope of challenges to rehabilitate waterways, introduce equitable access to water and provide for unprecedented effects on water systems from climate change in Aotearoa are mirrored world-wide. </w:t>
      </w:r>
    </w:p>
    <w:p w:rsidR="003F64E2" w:rsidRPr="0063115A" w:rsidRDefault="003F64E2" w:rsidP="002E2CE5">
      <w:pPr>
        <w:spacing w:line="276" w:lineRule="auto"/>
        <w:jc w:val="both"/>
        <w:rPr>
          <w:color w:val="000000" w:themeColor="text1"/>
          <w:sz w:val="22"/>
          <w:szCs w:val="22"/>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The OECD Study on Water</w:t>
      </w:r>
      <w:r w:rsidRPr="0063115A">
        <w:rPr>
          <w:rStyle w:val="FootnoteReference"/>
          <w:color w:val="000000" w:themeColor="text1"/>
          <w:sz w:val="22"/>
          <w:szCs w:val="22"/>
        </w:rPr>
        <w:footnoteReference w:id="10"/>
      </w:r>
      <w:r w:rsidRPr="0063115A">
        <w:rPr>
          <w:color w:val="000000" w:themeColor="text1"/>
          <w:sz w:val="22"/>
          <w:szCs w:val="22"/>
        </w:rPr>
        <w:t xml:space="preserve"> recognises that it is impossible to make new policy settings in one step, often because of politics and contested interests.  There is tension between an evolving iterative process with stakeholder engagement and the known remedies and risks that should be attended to in statute and policy. Allocation is particularly challenging and must include an account of climate change impacts on waterways in policy and governance </w:t>
      </w:r>
    </w:p>
    <w:p w:rsidR="006A5250" w:rsidRPr="00F83442" w:rsidRDefault="006A5250" w:rsidP="002E2CE5">
      <w:pPr>
        <w:spacing w:line="276" w:lineRule="auto"/>
        <w:jc w:val="both"/>
        <w:rPr>
          <w:color w:val="000000" w:themeColor="text1"/>
        </w:rPr>
      </w:pPr>
    </w:p>
    <w:p w:rsidR="008A7F9A" w:rsidRPr="00F83442" w:rsidRDefault="008A7F9A" w:rsidP="002E2CE5">
      <w:pPr>
        <w:spacing w:line="276" w:lineRule="auto"/>
        <w:jc w:val="both"/>
        <w:rPr>
          <w:b/>
          <w:i/>
          <w:color w:val="000000" w:themeColor="text1"/>
        </w:rPr>
      </w:pPr>
      <w:r w:rsidRPr="00F83442">
        <w:rPr>
          <w:b/>
          <w:i/>
          <w:color w:val="000000" w:themeColor="text1"/>
        </w:rPr>
        <w:t xml:space="preserve">New Proposals for Governance and Resource Management </w:t>
      </w:r>
    </w:p>
    <w:p w:rsidR="005F644C" w:rsidRPr="00F83442" w:rsidRDefault="005F644C" w:rsidP="002E2CE5">
      <w:pPr>
        <w:spacing w:line="276" w:lineRule="auto"/>
        <w:jc w:val="both"/>
        <w:rPr>
          <w:color w:val="000000" w:themeColor="text1"/>
        </w:rPr>
      </w:pP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At present the RMA does not provide sufficient requirements to consider climate change in decision-making for infrastructure, procurement and resource consents. There has been a recent amendment to remove the s 104E prohibition on consent authorities from having regard to effects on climate change when considering applications for discharge and coastal permits and </w:t>
      </w:r>
      <w:proofErr w:type="spellStart"/>
      <w:r w:rsidRPr="0063115A">
        <w:rPr>
          <w:color w:val="000000" w:themeColor="text1"/>
          <w:sz w:val="22"/>
          <w:szCs w:val="22"/>
        </w:rPr>
        <w:t>ss</w:t>
      </w:r>
      <w:proofErr w:type="spellEnd"/>
      <w:r w:rsidRPr="0063115A">
        <w:rPr>
          <w:color w:val="000000" w:themeColor="text1"/>
          <w:sz w:val="22"/>
          <w:szCs w:val="22"/>
        </w:rPr>
        <w:t xml:space="preserve"> 70A and B which restrict the ability of regional councils to make rules and regulations relating to controls on discharges of greenhouse gases.</w:t>
      </w:r>
      <w:r w:rsidRPr="0063115A">
        <w:rPr>
          <w:rStyle w:val="FootnoteReference"/>
          <w:color w:val="000000" w:themeColor="text1"/>
          <w:sz w:val="22"/>
          <w:szCs w:val="22"/>
        </w:rPr>
        <w:footnoteReference w:id="11"/>
      </w:r>
      <w:r w:rsidRPr="0063115A">
        <w:rPr>
          <w:color w:val="000000" w:themeColor="text1"/>
          <w:sz w:val="22"/>
          <w:szCs w:val="22"/>
        </w:rPr>
        <w:t xml:space="preserve"> </w:t>
      </w: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 </w:t>
      </w:r>
    </w:p>
    <w:p w:rsidR="006A5250" w:rsidRPr="0063115A" w:rsidRDefault="006A5250" w:rsidP="002E2CE5">
      <w:pPr>
        <w:spacing w:line="276" w:lineRule="auto"/>
        <w:jc w:val="both"/>
        <w:rPr>
          <w:color w:val="000000" w:themeColor="text1"/>
          <w:sz w:val="22"/>
          <w:szCs w:val="22"/>
        </w:rPr>
      </w:pPr>
      <w:r w:rsidRPr="0063115A">
        <w:rPr>
          <w:color w:val="000000" w:themeColor="text1"/>
          <w:sz w:val="22"/>
          <w:szCs w:val="22"/>
        </w:rPr>
        <w:t xml:space="preserve">Renewable energy does not necessarily have renewal built into its systems of production – as can be seen with the </w:t>
      </w:r>
      <w:proofErr w:type="spellStart"/>
      <w:r w:rsidRPr="0063115A">
        <w:rPr>
          <w:color w:val="000000" w:themeColor="text1"/>
          <w:sz w:val="22"/>
          <w:szCs w:val="22"/>
        </w:rPr>
        <w:t>Tiwai</w:t>
      </w:r>
      <w:proofErr w:type="spellEnd"/>
      <w:r w:rsidRPr="0063115A">
        <w:rPr>
          <w:color w:val="000000" w:themeColor="text1"/>
          <w:sz w:val="22"/>
          <w:szCs w:val="22"/>
        </w:rPr>
        <w:t xml:space="preserve"> Aluminium Smelter – where, despite production with renewable hydro-energy,  toxic waste and emissions impact on the </w:t>
      </w:r>
      <w:proofErr w:type="spellStart"/>
      <w:r w:rsidRPr="0063115A">
        <w:rPr>
          <w:color w:val="000000" w:themeColor="text1"/>
          <w:sz w:val="22"/>
          <w:szCs w:val="22"/>
        </w:rPr>
        <w:t>Waiau</w:t>
      </w:r>
      <w:proofErr w:type="spellEnd"/>
      <w:r w:rsidRPr="0063115A">
        <w:rPr>
          <w:color w:val="000000" w:themeColor="text1"/>
          <w:sz w:val="22"/>
          <w:szCs w:val="22"/>
        </w:rPr>
        <w:t xml:space="preserve"> River. These and other matters relating to the regional economy, all need to be integrated into waterways and climate change impact assessments.</w:t>
      </w:r>
      <w:r w:rsidRPr="0063115A">
        <w:rPr>
          <w:color w:val="000000" w:themeColor="text1"/>
          <w:sz w:val="22"/>
          <w:szCs w:val="22"/>
          <w:vertAlign w:val="superscript"/>
        </w:rPr>
        <w:footnoteReference w:id="12"/>
      </w:r>
      <w:r w:rsidRPr="0063115A">
        <w:rPr>
          <w:color w:val="000000" w:themeColor="text1"/>
          <w:sz w:val="22"/>
          <w:szCs w:val="22"/>
          <w:vertAlign w:val="superscript"/>
        </w:rPr>
        <w:t xml:space="preserve"> </w:t>
      </w:r>
      <w:r w:rsidRPr="0063115A">
        <w:rPr>
          <w:color w:val="000000" w:themeColor="text1"/>
          <w:sz w:val="22"/>
          <w:szCs w:val="22"/>
        </w:rPr>
        <w:t xml:space="preserve"> The proposed Waterways Commission would include </w:t>
      </w:r>
      <w:r w:rsidR="007B6164" w:rsidRPr="0063115A">
        <w:rPr>
          <w:color w:val="000000" w:themeColor="text1"/>
          <w:sz w:val="22"/>
          <w:szCs w:val="22"/>
        </w:rPr>
        <w:t xml:space="preserve">integration with </w:t>
      </w:r>
      <w:r w:rsidRPr="0063115A">
        <w:rPr>
          <w:color w:val="000000" w:themeColor="text1"/>
          <w:sz w:val="22"/>
          <w:szCs w:val="22"/>
        </w:rPr>
        <w:t>climate change in its mandate</w:t>
      </w:r>
      <w:r w:rsidR="007B6164" w:rsidRPr="0063115A">
        <w:rPr>
          <w:color w:val="000000" w:themeColor="text1"/>
          <w:sz w:val="22"/>
          <w:szCs w:val="22"/>
        </w:rPr>
        <w:t xml:space="preserve">. </w:t>
      </w:r>
    </w:p>
    <w:p w:rsidR="006A5250" w:rsidRPr="00F83442" w:rsidRDefault="006A5250" w:rsidP="002E2CE5">
      <w:pPr>
        <w:spacing w:line="276" w:lineRule="auto"/>
        <w:jc w:val="both"/>
        <w:rPr>
          <w:color w:val="000000" w:themeColor="text1"/>
        </w:rPr>
      </w:pPr>
    </w:p>
    <w:p w:rsidR="00C8036E" w:rsidRPr="00F83442" w:rsidRDefault="00C8036E" w:rsidP="002E2CE5">
      <w:pPr>
        <w:spacing w:line="276" w:lineRule="auto"/>
        <w:rPr>
          <w:b/>
          <w:i/>
        </w:rPr>
      </w:pPr>
      <w:r w:rsidRPr="00F83442">
        <w:rPr>
          <w:b/>
          <w:i/>
        </w:rPr>
        <w:t xml:space="preserve">An institutional framework for Waterways integrated with Climate Change </w:t>
      </w:r>
    </w:p>
    <w:p w:rsidR="008A7F9A" w:rsidRPr="00F83442" w:rsidRDefault="008A7F9A" w:rsidP="002E2CE5">
      <w:pPr>
        <w:spacing w:line="276" w:lineRule="auto"/>
      </w:pPr>
    </w:p>
    <w:p w:rsidR="003F64E2" w:rsidRPr="0063115A" w:rsidRDefault="003F64E2" w:rsidP="002E2CE5">
      <w:pPr>
        <w:spacing w:line="276" w:lineRule="auto"/>
        <w:rPr>
          <w:sz w:val="22"/>
          <w:szCs w:val="22"/>
        </w:rPr>
      </w:pPr>
      <w:r w:rsidRPr="0063115A">
        <w:rPr>
          <w:sz w:val="22"/>
          <w:szCs w:val="22"/>
        </w:rPr>
        <w:t xml:space="preserve">A Commission with </w:t>
      </w:r>
      <w:proofErr w:type="spellStart"/>
      <w:r w:rsidRPr="0063115A">
        <w:rPr>
          <w:sz w:val="22"/>
          <w:szCs w:val="22"/>
        </w:rPr>
        <w:t>Te</w:t>
      </w:r>
      <w:proofErr w:type="spellEnd"/>
      <w:r w:rsidRPr="0063115A">
        <w:rPr>
          <w:sz w:val="22"/>
          <w:szCs w:val="22"/>
        </w:rPr>
        <w:t xml:space="preserve"> Mana o </w:t>
      </w:r>
      <w:proofErr w:type="spellStart"/>
      <w:r w:rsidRPr="0063115A">
        <w:rPr>
          <w:sz w:val="22"/>
          <w:szCs w:val="22"/>
        </w:rPr>
        <w:t>Te</w:t>
      </w:r>
      <w:proofErr w:type="spellEnd"/>
      <w:r w:rsidRPr="0063115A">
        <w:rPr>
          <w:sz w:val="22"/>
          <w:szCs w:val="22"/>
        </w:rPr>
        <w:t xml:space="preserve"> Wai/</w:t>
      </w:r>
      <w:proofErr w:type="spellStart"/>
      <w:r w:rsidRPr="0063115A">
        <w:rPr>
          <w:sz w:val="22"/>
          <w:szCs w:val="22"/>
        </w:rPr>
        <w:t>Te</w:t>
      </w:r>
      <w:proofErr w:type="spellEnd"/>
      <w:r w:rsidRPr="0063115A">
        <w:rPr>
          <w:sz w:val="22"/>
          <w:szCs w:val="22"/>
        </w:rPr>
        <w:t xml:space="preserve"> </w:t>
      </w:r>
      <w:proofErr w:type="spellStart"/>
      <w:r w:rsidRPr="0063115A">
        <w:rPr>
          <w:sz w:val="22"/>
          <w:szCs w:val="22"/>
        </w:rPr>
        <w:t>Taiao</w:t>
      </w:r>
      <w:proofErr w:type="spellEnd"/>
      <w:r w:rsidRPr="0063115A">
        <w:rPr>
          <w:sz w:val="22"/>
          <w:szCs w:val="22"/>
        </w:rPr>
        <w:t xml:space="preserve"> Catchment Boards, provide for the authority of mana whenua alongside the Crown, inaugurating a good faith process for decisions on a revised allocation system. </w:t>
      </w:r>
    </w:p>
    <w:p w:rsidR="003F64E2" w:rsidRPr="0063115A" w:rsidRDefault="003F64E2" w:rsidP="002E2CE5">
      <w:pPr>
        <w:spacing w:line="276" w:lineRule="auto"/>
        <w:rPr>
          <w:sz w:val="22"/>
          <w:szCs w:val="22"/>
        </w:rPr>
      </w:pPr>
    </w:p>
    <w:p w:rsidR="007B6164" w:rsidRPr="0063115A" w:rsidRDefault="003F64E2" w:rsidP="002E2CE5">
      <w:pPr>
        <w:spacing w:line="276" w:lineRule="auto"/>
        <w:rPr>
          <w:sz w:val="22"/>
          <w:szCs w:val="22"/>
        </w:rPr>
      </w:pPr>
      <w:r w:rsidRPr="0063115A">
        <w:rPr>
          <w:sz w:val="22"/>
          <w:szCs w:val="22"/>
        </w:rPr>
        <w:t xml:space="preserve">At the point of designing a replacement system of use and allocation, this should not rely on the market. </w:t>
      </w:r>
      <w:r w:rsidR="008A7F9A" w:rsidRPr="0063115A">
        <w:rPr>
          <w:sz w:val="22"/>
          <w:szCs w:val="22"/>
        </w:rPr>
        <w:t xml:space="preserve">A criteria based system shows </w:t>
      </w:r>
      <w:r w:rsidR="007B6164" w:rsidRPr="0063115A">
        <w:rPr>
          <w:sz w:val="22"/>
          <w:szCs w:val="22"/>
        </w:rPr>
        <w:t xml:space="preserve">the possibilities for addressing climate change through the allocation of water resources. </w:t>
      </w:r>
    </w:p>
    <w:p w:rsidR="007B6164" w:rsidRPr="0063115A" w:rsidRDefault="007B6164" w:rsidP="002E2CE5">
      <w:pPr>
        <w:spacing w:line="276" w:lineRule="auto"/>
        <w:rPr>
          <w:sz w:val="22"/>
          <w:szCs w:val="22"/>
        </w:rPr>
      </w:pPr>
    </w:p>
    <w:p w:rsidR="007B6164" w:rsidRPr="0063115A" w:rsidRDefault="003F64E2" w:rsidP="002E2CE5">
      <w:pPr>
        <w:spacing w:line="276" w:lineRule="auto"/>
        <w:rPr>
          <w:sz w:val="22"/>
          <w:szCs w:val="22"/>
        </w:rPr>
      </w:pPr>
      <w:r w:rsidRPr="0063115A">
        <w:rPr>
          <w:sz w:val="22"/>
          <w:szCs w:val="22"/>
        </w:rPr>
        <w:t xml:space="preserve">Whether tendering, or </w:t>
      </w:r>
      <w:r w:rsidR="007B6164" w:rsidRPr="0063115A">
        <w:rPr>
          <w:sz w:val="22"/>
          <w:szCs w:val="22"/>
        </w:rPr>
        <w:t xml:space="preserve">partial </w:t>
      </w:r>
      <w:r w:rsidRPr="0063115A">
        <w:rPr>
          <w:sz w:val="22"/>
          <w:szCs w:val="22"/>
        </w:rPr>
        <w:t xml:space="preserve">use of the market or another form of access is used it should be based on criteria with principles of responsibility, rangatiratanga, mauri, environmental flows, regenerative use, context and aspirations (rather than limits) for decision-making.  </w:t>
      </w:r>
    </w:p>
    <w:p w:rsidR="007B6164" w:rsidRPr="0063115A" w:rsidRDefault="007B6164" w:rsidP="002E2CE5">
      <w:pPr>
        <w:spacing w:line="276" w:lineRule="auto"/>
        <w:rPr>
          <w:sz w:val="22"/>
          <w:szCs w:val="22"/>
        </w:rPr>
      </w:pPr>
    </w:p>
    <w:p w:rsidR="003F64E2" w:rsidRPr="0063115A" w:rsidRDefault="003F64E2" w:rsidP="002E2CE5">
      <w:pPr>
        <w:spacing w:line="276" w:lineRule="auto"/>
        <w:rPr>
          <w:sz w:val="22"/>
          <w:szCs w:val="22"/>
        </w:rPr>
      </w:pPr>
      <w:r w:rsidRPr="0063115A">
        <w:rPr>
          <w:sz w:val="22"/>
          <w:szCs w:val="22"/>
        </w:rPr>
        <w:t xml:space="preserve">Criteria may include: </w:t>
      </w:r>
    </w:p>
    <w:p w:rsidR="003F64E2" w:rsidRPr="0063115A" w:rsidRDefault="003F64E2" w:rsidP="002E2CE5">
      <w:pPr>
        <w:pStyle w:val="ListParagraph"/>
        <w:numPr>
          <w:ilvl w:val="0"/>
          <w:numId w:val="1"/>
        </w:numPr>
        <w:ind w:left="567"/>
        <w:rPr>
          <w:sz w:val="22"/>
          <w:szCs w:val="22"/>
        </w:rPr>
      </w:pPr>
      <w:r w:rsidRPr="0063115A">
        <w:rPr>
          <w:bCs/>
          <w:sz w:val="22"/>
          <w:szCs w:val="22"/>
        </w:rPr>
        <w:t>Allocation for iwi/</w:t>
      </w:r>
      <w:proofErr w:type="spellStart"/>
      <w:r w:rsidRPr="0063115A">
        <w:rPr>
          <w:bCs/>
          <w:sz w:val="22"/>
          <w:szCs w:val="22"/>
        </w:rPr>
        <w:t>hapū</w:t>
      </w:r>
      <w:proofErr w:type="spellEnd"/>
      <w:r w:rsidRPr="0063115A">
        <w:rPr>
          <w:bCs/>
          <w:sz w:val="22"/>
          <w:szCs w:val="22"/>
        </w:rPr>
        <w:t xml:space="preserve"> and Māori landowners</w:t>
      </w:r>
    </w:p>
    <w:p w:rsidR="003F64E2" w:rsidRPr="0063115A" w:rsidRDefault="003F64E2" w:rsidP="002E2CE5">
      <w:pPr>
        <w:pStyle w:val="ListParagraph"/>
        <w:numPr>
          <w:ilvl w:val="0"/>
          <w:numId w:val="1"/>
        </w:numPr>
        <w:ind w:left="567"/>
        <w:rPr>
          <w:sz w:val="22"/>
          <w:szCs w:val="22"/>
        </w:rPr>
      </w:pPr>
      <w:r w:rsidRPr="0063115A">
        <w:rPr>
          <w:bCs/>
          <w:sz w:val="22"/>
          <w:szCs w:val="22"/>
        </w:rPr>
        <w:t xml:space="preserve">Rehabilitative land use, </w:t>
      </w:r>
      <w:proofErr w:type="spellStart"/>
      <w:r w:rsidRPr="0063115A">
        <w:rPr>
          <w:bCs/>
          <w:sz w:val="22"/>
          <w:szCs w:val="22"/>
        </w:rPr>
        <w:t>eg.</w:t>
      </w:r>
      <w:proofErr w:type="spellEnd"/>
      <w:r w:rsidRPr="0063115A">
        <w:rPr>
          <w:bCs/>
          <w:sz w:val="22"/>
          <w:szCs w:val="22"/>
        </w:rPr>
        <w:t xml:space="preserve"> regenerative agriculture, and incentives to reduce water use</w:t>
      </w:r>
    </w:p>
    <w:p w:rsidR="003F64E2" w:rsidRPr="0063115A" w:rsidRDefault="003F64E2" w:rsidP="002E2CE5">
      <w:pPr>
        <w:pStyle w:val="ListParagraph"/>
        <w:numPr>
          <w:ilvl w:val="0"/>
          <w:numId w:val="1"/>
        </w:numPr>
        <w:ind w:left="567"/>
        <w:rPr>
          <w:bCs/>
          <w:sz w:val="22"/>
          <w:szCs w:val="22"/>
        </w:rPr>
      </w:pPr>
      <w:r w:rsidRPr="0063115A">
        <w:rPr>
          <w:bCs/>
          <w:sz w:val="22"/>
          <w:szCs w:val="22"/>
        </w:rPr>
        <w:t>Land use that reduces intensified dairy</w:t>
      </w:r>
    </w:p>
    <w:p w:rsidR="003F64E2" w:rsidRPr="0063115A" w:rsidRDefault="003F64E2" w:rsidP="002E2CE5">
      <w:pPr>
        <w:pStyle w:val="ListParagraph"/>
        <w:numPr>
          <w:ilvl w:val="0"/>
          <w:numId w:val="1"/>
        </w:numPr>
        <w:ind w:left="567"/>
        <w:rPr>
          <w:color w:val="000000" w:themeColor="text1"/>
          <w:sz w:val="22"/>
          <w:szCs w:val="22"/>
        </w:rPr>
      </w:pPr>
      <w:r w:rsidRPr="0063115A">
        <w:rPr>
          <w:color w:val="000000" w:themeColor="text1"/>
          <w:sz w:val="22"/>
          <w:szCs w:val="22"/>
        </w:rPr>
        <w:t>Allocation and policy for land use that supports the health of waterways, such as forestry management to reduce or eliminate sediment.</w:t>
      </w:r>
    </w:p>
    <w:p w:rsidR="003F64E2" w:rsidRPr="0063115A" w:rsidRDefault="003F64E2" w:rsidP="002E2CE5">
      <w:pPr>
        <w:pStyle w:val="ListParagraph"/>
        <w:numPr>
          <w:ilvl w:val="0"/>
          <w:numId w:val="1"/>
        </w:numPr>
        <w:ind w:left="567"/>
        <w:rPr>
          <w:color w:val="000000" w:themeColor="text1"/>
          <w:sz w:val="22"/>
          <w:szCs w:val="22"/>
        </w:rPr>
      </w:pPr>
      <w:r w:rsidRPr="0063115A">
        <w:rPr>
          <w:color w:val="000000" w:themeColor="text1"/>
          <w:sz w:val="22"/>
          <w:szCs w:val="22"/>
        </w:rPr>
        <w:t>Water and land use that reduces GHG emissions</w:t>
      </w:r>
    </w:p>
    <w:p w:rsidR="003F64E2" w:rsidRPr="0063115A" w:rsidRDefault="003F64E2" w:rsidP="002E2CE5">
      <w:pPr>
        <w:pStyle w:val="ListParagraph"/>
        <w:numPr>
          <w:ilvl w:val="0"/>
          <w:numId w:val="1"/>
        </w:numPr>
        <w:ind w:left="567"/>
        <w:rPr>
          <w:bCs/>
          <w:sz w:val="22"/>
          <w:szCs w:val="22"/>
        </w:rPr>
      </w:pPr>
      <w:r w:rsidRPr="0063115A">
        <w:rPr>
          <w:color w:val="000000" w:themeColor="text1"/>
          <w:sz w:val="22"/>
          <w:szCs w:val="22"/>
        </w:rPr>
        <w:t xml:space="preserve">Elimination of detrimental externalities – </w:t>
      </w:r>
      <w:proofErr w:type="spellStart"/>
      <w:r w:rsidRPr="0063115A">
        <w:rPr>
          <w:color w:val="000000" w:themeColor="text1"/>
          <w:sz w:val="22"/>
          <w:szCs w:val="22"/>
        </w:rPr>
        <w:t>eg</w:t>
      </w:r>
      <w:proofErr w:type="spellEnd"/>
      <w:r w:rsidRPr="0063115A">
        <w:rPr>
          <w:color w:val="000000" w:themeColor="text1"/>
          <w:sz w:val="22"/>
          <w:szCs w:val="22"/>
        </w:rPr>
        <w:t xml:space="preserve"> toxic discharges, sediment biodiversity loss</w:t>
      </w:r>
    </w:p>
    <w:p w:rsidR="003F64E2" w:rsidRPr="0063115A" w:rsidRDefault="003F64E2" w:rsidP="002E2CE5">
      <w:pPr>
        <w:pStyle w:val="ListParagraph"/>
        <w:numPr>
          <w:ilvl w:val="0"/>
          <w:numId w:val="1"/>
        </w:numPr>
        <w:ind w:left="567"/>
        <w:rPr>
          <w:color w:val="000000" w:themeColor="text1"/>
          <w:sz w:val="22"/>
          <w:szCs w:val="22"/>
        </w:rPr>
      </w:pPr>
      <w:r w:rsidRPr="0063115A">
        <w:rPr>
          <w:color w:val="000000" w:themeColor="text1"/>
          <w:sz w:val="22"/>
          <w:szCs w:val="22"/>
        </w:rPr>
        <w:t>Incentives for biodiversity enhancement</w:t>
      </w:r>
    </w:p>
    <w:p w:rsidR="003F64E2" w:rsidRPr="00F83442" w:rsidRDefault="003F64E2" w:rsidP="002E2CE5">
      <w:pPr>
        <w:spacing w:line="276" w:lineRule="auto"/>
        <w:jc w:val="both"/>
        <w:rPr>
          <w:color w:val="000000" w:themeColor="text1"/>
        </w:rPr>
      </w:pPr>
    </w:p>
    <w:p w:rsidR="007B6164" w:rsidRPr="00F83442" w:rsidRDefault="007B6164" w:rsidP="002E2CE5">
      <w:pPr>
        <w:spacing w:line="276" w:lineRule="auto"/>
        <w:ind w:right="-336"/>
        <w:rPr>
          <w:b/>
          <w:i/>
          <w:color w:val="000000" w:themeColor="text1"/>
        </w:rPr>
      </w:pPr>
      <w:r w:rsidRPr="00F83442">
        <w:rPr>
          <w:b/>
          <w:i/>
          <w:color w:val="000000" w:themeColor="text1"/>
        </w:rPr>
        <w:t xml:space="preserve">The Natural &amp; Built Environment Act: Climate Change Implications of </w:t>
      </w:r>
      <w:proofErr w:type="spellStart"/>
      <w:r w:rsidRPr="00F83442">
        <w:rPr>
          <w:b/>
          <w:i/>
          <w:color w:val="000000" w:themeColor="text1"/>
        </w:rPr>
        <w:t>Te</w:t>
      </w:r>
      <w:proofErr w:type="spellEnd"/>
      <w:r w:rsidRPr="00F83442">
        <w:rPr>
          <w:b/>
          <w:i/>
          <w:color w:val="000000" w:themeColor="text1"/>
        </w:rPr>
        <w:t xml:space="preserve"> Mana o </w:t>
      </w:r>
      <w:proofErr w:type="spellStart"/>
      <w:r w:rsidRPr="00F83442">
        <w:rPr>
          <w:b/>
          <w:i/>
          <w:color w:val="000000" w:themeColor="text1"/>
        </w:rPr>
        <w:t>Te</w:t>
      </w:r>
      <w:proofErr w:type="spellEnd"/>
      <w:r w:rsidRPr="00F83442">
        <w:rPr>
          <w:b/>
          <w:i/>
          <w:color w:val="000000" w:themeColor="text1"/>
        </w:rPr>
        <w:t xml:space="preserve"> Tai</w:t>
      </w:r>
      <w:r w:rsidR="00F83442">
        <w:rPr>
          <w:b/>
          <w:i/>
          <w:color w:val="000000" w:themeColor="text1"/>
        </w:rPr>
        <w:t xml:space="preserve"> </w:t>
      </w:r>
      <w:proofErr w:type="spellStart"/>
      <w:r w:rsidRPr="00F83442">
        <w:rPr>
          <w:b/>
          <w:i/>
          <w:color w:val="000000" w:themeColor="text1"/>
        </w:rPr>
        <w:t>Ao</w:t>
      </w:r>
      <w:proofErr w:type="spellEnd"/>
      <w:r w:rsidRPr="00F83442">
        <w:rPr>
          <w:b/>
          <w:i/>
          <w:color w:val="000000" w:themeColor="text1"/>
        </w:rPr>
        <w:t xml:space="preserve"> </w:t>
      </w:r>
    </w:p>
    <w:p w:rsidR="007B6164" w:rsidRPr="00F83442" w:rsidRDefault="007B6164" w:rsidP="002E2CE5">
      <w:pPr>
        <w:spacing w:line="276" w:lineRule="auto"/>
        <w:rPr>
          <w:color w:val="000000" w:themeColor="text1"/>
        </w:rPr>
      </w:pPr>
    </w:p>
    <w:p w:rsidR="00C8036E" w:rsidRPr="0063115A" w:rsidRDefault="003F64E2" w:rsidP="002E2CE5">
      <w:pPr>
        <w:spacing w:line="276" w:lineRule="auto"/>
        <w:rPr>
          <w:bCs/>
          <w:sz w:val="22"/>
          <w:szCs w:val="22"/>
        </w:rPr>
      </w:pPr>
      <w:r w:rsidRPr="0063115A">
        <w:rPr>
          <w:color w:val="000000" w:themeColor="text1"/>
          <w:sz w:val="22"/>
          <w:szCs w:val="22"/>
        </w:rPr>
        <w:t xml:space="preserve">The forthcoming Natural and Build Environment Act is expected to have </w:t>
      </w:r>
      <w:proofErr w:type="spellStart"/>
      <w:r w:rsidRPr="0063115A">
        <w:rPr>
          <w:color w:val="000000" w:themeColor="text1"/>
          <w:sz w:val="22"/>
          <w:szCs w:val="22"/>
        </w:rPr>
        <w:t>Te</w:t>
      </w:r>
      <w:proofErr w:type="spellEnd"/>
      <w:r w:rsidRPr="0063115A">
        <w:rPr>
          <w:color w:val="000000" w:themeColor="text1"/>
          <w:sz w:val="22"/>
          <w:szCs w:val="22"/>
        </w:rPr>
        <w:t xml:space="preserve"> Mana o </w:t>
      </w:r>
      <w:proofErr w:type="spellStart"/>
      <w:r w:rsidRPr="0063115A">
        <w:rPr>
          <w:color w:val="000000" w:themeColor="text1"/>
          <w:sz w:val="22"/>
          <w:szCs w:val="22"/>
        </w:rPr>
        <w:t>Te</w:t>
      </w:r>
      <w:proofErr w:type="spellEnd"/>
      <w:r w:rsidRPr="0063115A">
        <w:rPr>
          <w:color w:val="000000" w:themeColor="text1"/>
          <w:sz w:val="22"/>
          <w:szCs w:val="22"/>
        </w:rPr>
        <w:t xml:space="preserve"> Tai </w:t>
      </w:r>
      <w:proofErr w:type="spellStart"/>
      <w:r w:rsidRPr="0063115A">
        <w:rPr>
          <w:color w:val="000000" w:themeColor="text1"/>
          <w:sz w:val="22"/>
          <w:szCs w:val="22"/>
        </w:rPr>
        <w:t>Ao</w:t>
      </w:r>
      <w:proofErr w:type="spellEnd"/>
      <w:r w:rsidRPr="0063115A">
        <w:rPr>
          <w:color w:val="000000" w:themeColor="text1"/>
          <w:sz w:val="22"/>
          <w:szCs w:val="22"/>
        </w:rPr>
        <w:t xml:space="preserve"> in its purpose statement. According to the Ministry for Environment </w:t>
      </w:r>
      <w:proofErr w:type="spellStart"/>
      <w:r w:rsidRPr="0063115A">
        <w:rPr>
          <w:color w:val="000000" w:themeColor="text1"/>
          <w:sz w:val="22"/>
          <w:szCs w:val="22"/>
        </w:rPr>
        <w:t>Te</w:t>
      </w:r>
      <w:proofErr w:type="spellEnd"/>
      <w:r w:rsidRPr="0063115A">
        <w:rPr>
          <w:color w:val="000000" w:themeColor="text1"/>
          <w:sz w:val="22"/>
          <w:szCs w:val="22"/>
        </w:rPr>
        <w:t xml:space="preserve"> Mana o </w:t>
      </w:r>
      <w:proofErr w:type="spellStart"/>
      <w:r w:rsidRPr="0063115A">
        <w:rPr>
          <w:color w:val="000000" w:themeColor="text1"/>
          <w:sz w:val="22"/>
          <w:szCs w:val="22"/>
        </w:rPr>
        <w:t>Te</w:t>
      </w:r>
      <w:proofErr w:type="spellEnd"/>
      <w:r w:rsidRPr="0063115A">
        <w:rPr>
          <w:color w:val="000000" w:themeColor="text1"/>
          <w:sz w:val="22"/>
          <w:szCs w:val="22"/>
        </w:rPr>
        <w:t xml:space="preserve"> Tai </w:t>
      </w:r>
      <w:proofErr w:type="spellStart"/>
      <w:r w:rsidRPr="0063115A">
        <w:rPr>
          <w:color w:val="000000" w:themeColor="text1"/>
          <w:sz w:val="22"/>
          <w:szCs w:val="22"/>
        </w:rPr>
        <w:t>Ao</w:t>
      </w:r>
      <w:proofErr w:type="spellEnd"/>
      <w:r w:rsidRPr="0063115A">
        <w:rPr>
          <w:color w:val="000000" w:themeColor="text1"/>
          <w:sz w:val="22"/>
          <w:szCs w:val="22"/>
        </w:rPr>
        <w:t xml:space="preserve"> refers to </w:t>
      </w:r>
      <w:r w:rsidR="00732679" w:rsidRPr="0063115A">
        <w:rPr>
          <w:color w:val="000000" w:themeColor="text1"/>
          <w:sz w:val="22"/>
          <w:szCs w:val="22"/>
        </w:rPr>
        <w:t xml:space="preserve">protection of </w:t>
      </w:r>
      <w:r w:rsidR="00732679" w:rsidRPr="0063115A">
        <w:rPr>
          <w:bCs/>
          <w:sz w:val="22"/>
          <w:szCs w:val="22"/>
        </w:rPr>
        <w:t>air, water, soil, land</w:t>
      </w:r>
      <w:r w:rsidR="0063115A" w:rsidRPr="0063115A">
        <w:rPr>
          <w:bCs/>
          <w:sz w:val="22"/>
          <w:szCs w:val="22"/>
        </w:rPr>
        <w:t xml:space="preserve">; it </w:t>
      </w:r>
      <w:r w:rsidR="00732679" w:rsidRPr="0063115A">
        <w:rPr>
          <w:bCs/>
          <w:sz w:val="22"/>
          <w:szCs w:val="22"/>
        </w:rPr>
        <w:t xml:space="preserve">is intended to bring forward a much more integrated approach to environmental governance and resource management - as recommended by the </w:t>
      </w:r>
      <w:proofErr w:type="spellStart"/>
      <w:r w:rsidR="00732679" w:rsidRPr="0063115A">
        <w:rPr>
          <w:bCs/>
          <w:sz w:val="22"/>
          <w:szCs w:val="22"/>
        </w:rPr>
        <w:t>Randerson</w:t>
      </w:r>
      <w:proofErr w:type="spellEnd"/>
      <w:r w:rsidR="00732679" w:rsidRPr="0063115A">
        <w:rPr>
          <w:bCs/>
          <w:sz w:val="22"/>
          <w:szCs w:val="22"/>
        </w:rPr>
        <w:t xml:space="preserve"> Review, </w:t>
      </w:r>
      <w:r w:rsidR="00732679" w:rsidRPr="0063115A">
        <w:rPr>
          <w:bCs/>
          <w:i/>
          <w:sz w:val="22"/>
          <w:szCs w:val="22"/>
        </w:rPr>
        <w:t>New Directions for Resource Managemen</w:t>
      </w:r>
      <w:r w:rsidR="00732679" w:rsidRPr="0063115A">
        <w:rPr>
          <w:bCs/>
          <w:sz w:val="22"/>
          <w:szCs w:val="22"/>
        </w:rPr>
        <w:t xml:space="preserve">t 2020.  </w:t>
      </w:r>
    </w:p>
    <w:p w:rsidR="00C8036E" w:rsidRPr="0063115A" w:rsidRDefault="00C8036E" w:rsidP="002E2CE5">
      <w:pPr>
        <w:spacing w:line="276" w:lineRule="auto"/>
        <w:rPr>
          <w:bCs/>
          <w:sz w:val="22"/>
          <w:szCs w:val="22"/>
        </w:rPr>
      </w:pPr>
    </w:p>
    <w:p w:rsidR="00385DFC" w:rsidRPr="0063115A" w:rsidRDefault="00C8036E" w:rsidP="002E2CE5">
      <w:pPr>
        <w:spacing w:line="276" w:lineRule="auto"/>
        <w:rPr>
          <w:sz w:val="22"/>
          <w:szCs w:val="22"/>
        </w:rPr>
      </w:pPr>
      <w:r w:rsidRPr="0063115A">
        <w:rPr>
          <w:bCs/>
          <w:sz w:val="22"/>
          <w:szCs w:val="22"/>
        </w:rPr>
        <w:t xml:space="preserve">Some concerns about this interpretation include that land, soil, air and water are seen as </w:t>
      </w:r>
      <w:r w:rsidR="00732679" w:rsidRPr="0063115A">
        <w:rPr>
          <w:bCs/>
          <w:sz w:val="22"/>
          <w:szCs w:val="22"/>
        </w:rPr>
        <w:t>objects of protection</w:t>
      </w:r>
      <w:r w:rsidRPr="0063115A">
        <w:rPr>
          <w:bCs/>
          <w:sz w:val="22"/>
          <w:szCs w:val="22"/>
        </w:rPr>
        <w:t>, whereas what is needed is</w:t>
      </w:r>
      <w:r w:rsidR="00732679" w:rsidRPr="0063115A">
        <w:rPr>
          <w:bCs/>
          <w:sz w:val="22"/>
          <w:szCs w:val="22"/>
        </w:rPr>
        <w:t xml:space="preserve"> recognition of </w:t>
      </w:r>
      <w:r w:rsidRPr="0063115A">
        <w:rPr>
          <w:bCs/>
          <w:sz w:val="22"/>
          <w:szCs w:val="22"/>
        </w:rPr>
        <w:t xml:space="preserve">the </w:t>
      </w:r>
      <w:r w:rsidR="00732679" w:rsidRPr="0063115A">
        <w:rPr>
          <w:bCs/>
          <w:sz w:val="22"/>
          <w:szCs w:val="22"/>
        </w:rPr>
        <w:t>interdependence</w:t>
      </w:r>
      <w:r w:rsidRPr="0063115A">
        <w:rPr>
          <w:bCs/>
          <w:sz w:val="22"/>
          <w:szCs w:val="22"/>
        </w:rPr>
        <w:t xml:space="preserve"> of all life forms and of humans with nature. </w:t>
      </w:r>
      <w:proofErr w:type="spellStart"/>
      <w:r w:rsidRPr="0063115A">
        <w:rPr>
          <w:bCs/>
          <w:sz w:val="22"/>
          <w:szCs w:val="22"/>
        </w:rPr>
        <w:t>Mātauruanga</w:t>
      </w:r>
      <w:proofErr w:type="spellEnd"/>
      <w:r w:rsidRPr="0063115A">
        <w:rPr>
          <w:bCs/>
          <w:sz w:val="22"/>
          <w:szCs w:val="22"/>
        </w:rPr>
        <w:t xml:space="preserve"> </w:t>
      </w:r>
      <w:r w:rsidR="00732679" w:rsidRPr="0063115A">
        <w:rPr>
          <w:bCs/>
          <w:sz w:val="22"/>
          <w:szCs w:val="22"/>
        </w:rPr>
        <w:t xml:space="preserve"> </w:t>
      </w:r>
      <w:r w:rsidRPr="0063115A">
        <w:rPr>
          <w:bCs/>
          <w:sz w:val="22"/>
          <w:szCs w:val="22"/>
        </w:rPr>
        <w:t xml:space="preserve">Māori experts bring a view that gives much more recognition of inter-relationships and that </w:t>
      </w:r>
      <w:proofErr w:type="spellStart"/>
      <w:r w:rsidR="003F64E2" w:rsidRPr="0063115A">
        <w:rPr>
          <w:sz w:val="22"/>
          <w:szCs w:val="22"/>
        </w:rPr>
        <w:t>Te</w:t>
      </w:r>
      <w:proofErr w:type="spellEnd"/>
      <w:r w:rsidR="003F64E2" w:rsidRPr="0063115A">
        <w:rPr>
          <w:sz w:val="22"/>
          <w:szCs w:val="22"/>
        </w:rPr>
        <w:t xml:space="preserve"> Mana o </w:t>
      </w:r>
      <w:proofErr w:type="spellStart"/>
      <w:r w:rsidR="003F64E2" w:rsidRPr="0063115A">
        <w:rPr>
          <w:sz w:val="22"/>
          <w:szCs w:val="22"/>
        </w:rPr>
        <w:t>te</w:t>
      </w:r>
      <w:proofErr w:type="spellEnd"/>
      <w:r w:rsidR="003F64E2" w:rsidRPr="0063115A">
        <w:rPr>
          <w:sz w:val="22"/>
          <w:szCs w:val="22"/>
        </w:rPr>
        <w:t xml:space="preserve"> </w:t>
      </w:r>
      <w:proofErr w:type="spellStart"/>
      <w:r w:rsidR="003F64E2" w:rsidRPr="0063115A">
        <w:rPr>
          <w:sz w:val="22"/>
          <w:szCs w:val="22"/>
        </w:rPr>
        <w:t>Taiao</w:t>
      </w:r>
      <w:proofErr w:type="spellEnd"/>
      <w:r w:rsidR="003F64E2" w:rsidRPr="0063115A">
        <w:rPr>
          <w:sz w:val="22"/>
          <w:szCs w:val="22"/>
        </w:rPr>
        <w:t xml:space="preserve"> refers to people and communities protecting and enhancing the entire interdependent system that supports life in its diversity and richness. </w:t>
      </w:r>
    </w:p>
    <w:p w:rsidR="00385DFC" w:rsidRPr="0063115A" w:rsidRDefault="00385DFC" w:rsidP="002E2CE5">
      <w:pPr>
        <w:spacing w:line="276" w:lineRule="auto"/>
        <w:rPr>
          <w:sz w:val="22"/>
          <w:szCs w:val="22"/>
        </w:rPr>
      </w:pPr>
    </w:p>
    <w:p w:rsidR="003F64E2" w:rsidRPr="0063115A" w:rsidRDefault="00385DFC" w:rsidP="002E2CE5">
      <w:pPr>
        <w:spacing w:line="276" w:lineRule="auto"/>
        <w:rPr>
          <w:bCs/>
          <w:sz w:val="22"/>
          <w:szCs w:val="22"/>
        </w:rPr>
      </w:pPr>
      <w:r w:rsidRPr="0063115A">
        <w:rPr>
          <w:sz w:val="22"/>
          <w:szCs w:val="22"/>
        </w:rPr>
        <w:t xml:space="preserve">When we draw on an approach of responsibility for the future, and on the customary traditions of obligation of tikanga Māori, </w:t>
      </w:r>
      <w:r w:rsidR="002E2CE5">
        <w:rPr>
          <w:sz w:val="22"/>
          <w:szCs w:val="22"/>
        </w:rPr>
        <w:t xml:space="preserve">and  social-ecological systems thinking, </w:t>
      </w:r>
      <w:r w:rsidRPr="0063115A">
        <w:rPr>
          <w:bCs/>
          <w:sz w:val="22"/>
          <w:szCs w:val="22"/>
        </w:rPr>
        <w:t xml:space="preserve">the orientation towards natural resources of </w:t>
      </w:r>
      <w:proofErr w:type="spellStart"/>
      <w:r w:rsidRPr="0063115A">
        <w:rPr>
          <w:bCs/>
          <w:sz w:val="22"/>
          <w:szCs w:val="22"/>
        </w:rPr>
        <w:t>Te</w:t>
      </w:r>
      <w:proofErr w:type="spellEnd"/>
      <w:r w:rsidRPr="0063115A">
        <w:rPr>
          <w:bCs/>
          <w:sz w:val="22"/>
          <w:szCs w:val="22"/>
        </w:rPr>
        <w:t xml:space="preserve"> Tai </w:t>
      </w:r>
      <w:proofErr w:type="spellStart"/>
      <w:r w:rsidRPr="0063115A">
        <w:rPr>
          <w:bCs/>
          <w:sz w:val="22"/>
          <w:szCs w:val="22"/>
        </w:rPr>
        <w:t>Ao</w:t>
      </w:r>
      <w:proofErr w:type="spellEnd"/>
      <w:r w:rsidRPr="0063115A">
        <w:rPr>
          <w:bCs/>
          <w:sz w:val="22"/>
          <w:szCs w:val="22"/>
        </w:rPr>
        <w:t xml:space="preserve"> change</w:t>
      </w:r>
      <w:r w:rsidR="00AE4D05">
        <w:rPr>
          <w:bCs/>
          <w:sz w:val="22"/>
          <w:szCs w:val="22"/>
        </w:rPr>
        <w:t>s</w:t>
      </w:r>
      <w:r w:rsidRPr="0063115A">
        <w:rPr>
          <w:bCs/>
          <w:sz w:val="22"/>
          <w:szCs w:val="22"/>
        </w:rPr>
        <w:t xml:space="preserve"> from one of rights to use and </w:t>
      </w:r>
      <w:r w:rsidR="00AE4D05">
        <w:rPr>
          <w:bCs/>
          <w:sz w:val="22"/>
          <w:szCs w:val="22"/>
        </w:rPr>
        <w:t xml:space="preserve">property </w:t>
      </w:r>
      <w:r w:rsidRPr="0063115A">
        <w:rPr>
          <w:bCs/>
          <w:sz w:val="22"/>
          <w:szCs w:val="22"/>
        </w:rPr>
        <w:t>entitlements</w:t>
      </w:r>
      <w:r w:rsidR="00AE4D05">
        <w:rPr>
          <w:bCs/>
          <w:sz w:val="22"/>
          <w:szCs w:val="22"/>
        </w:rPr>
        <w:t>,</w:t>
      </w:r>
      <w:r w:rsidRPr="0063115A">
        <w:rPr>
          <w:bCs/>
          <w:sz w:val="22"/>
          <w:szCs w:val="22"/>
        </w:rPr>
        <w:t xml:space="preserve"> to an approach of relationship and accountability.</w:t>
      </w:r>
    </w:p>
    <w:p w:rsidR="00C8036E" w:rsidRPr="0063115A" w:rsidRDefault="00C8036E" w:rsidP="002E2CE5">
      <w:pPr>
        <w:spacing w:line="276" w:lineRule="auto"/>
        <w:rPr>
          <w:sz w:val="22"/>
          <w:szCs w:val="22"/>
        </w:rPr>
      </w:pPr>
    </w:p>
    <w:p w:rsidR="003F64E2" w:rsidRPr="0063115A" w:rsidRDefault="003F64E2" w:rsidP="002E2CE5">
      <w:pPr>
        <w:spacing w:line="276" w:lineRule="auto"/>
        <w:rPr>
          <w:sz w:val="22"/>
          <w:szCs w:val="22"/>
        </w:rPr>
      </w:pPr>
      <w:r w:rsidRPr="0063115A">
        <w:rPr>
          <w:sz w:val="22"/>
          <w:szCs w:val="22"/>
        </w:rPr>
        <w:t>Within the concept of ‘</w:t>
      </w:r>
      <w:proofErr w:type="spellStart"/>
      <w:r w:rsidRPr="0063115A">
        <w:rPr>
          <w:sz w:val="22"/>
          <w:szCs w:val="22"/>
        </w:rPr>
        <w:t>Te</w:t>
      </w:r>
      <w:proofErr w:type="spellEnd"/>
      <w:r w:rsidRPr="0063115A">
        <w:rPr>
          <w:sz w:val="22"/>
          <w:szCs w:val="22"/>
        </w:rPr>
        <w:t xml:space="preserve"> Mana o </w:t>
      </w:r>
      <w:proofErr w:type="spellStart"/>
      <w:r w:rsidR="00C8036E" w:rsidRPr="0063115A">
        <w:rPr>
          <w:sz w:val="22"/>
          <w:szCs w:val="22"/>
        </w:rPr>
        <w:t>T</w:t>
      </w:r>
      <w:r w:rsidRPr="0063115A">
        <w:rPr>
          <w:sz w:val="22"/>
          <w:szCs w:val="22"/>
        </w:rPr>
        <w:t>e</w:t>
      </w:r>
      <w:proofErr w:type="spellEnd"/>
      <w:r w:rsidRPr="0063115A">
        <w:rPr>
          <w:sz w:val="22"/>
          <w:szCs w:val="22"/>
        </w:rPr>
        <w:t xml:space="preserve"> Tai</w:t>
      </w:r>
      <w:r w:rsidR="00C8036E" w:rsidRPr="0063115A">
        <w:rPr>
          <w:sz w:val="22"/>
          <w:szCs w:val="22"/>
        </w:rPr>
        <w:t xml:space="preserve"> </w:t>
      </w:r>
      <w:proofErr w:type="spellStart"/>
      <w:r w:rsidR="00C8036E" w:rsidRPr="0063115A">
        <w:rPr>
          <w:sz w:val="22"/>
          <w:szCs w:val="22"/>
        </w:rPr>
        <w:t>A</w:t>
      </w:r>
      <w:r w:rsidRPr="0063115A">
        <w:rPr>
          <w:sz w:val="22"/>
          <w:szCs w:val="22"/>
        </w:rPr>
        <w:t>o</w:t>
      </w:r>
      <w:proofErr w:type="spellEnd"/>
      <w:r w:rsidRPr="0063115A">
        <w:rPr>
          <w:sz w:val="22"/>
          <w:szCs w:val="22"/>
        </w:rPr>
        <w:t>’, ‘</w:t>
      </w:r>
      <w:proofErr w:type="spellStart"/>
      <w:r w:rsidR="00C8036E" w:rsidRPr="0063115A">
        <w:rPr>
          <w:sz w:val="22"/>
          <w:szCs w:val="22"/>
        </w:rPr>
        <w:t>T</w:t>
      </w:r>
      <w:r w:rsidRPr="0063115A">
        <w:rPr>
          <w:sz w:val="22"/>
          <w:szCs w:val="22"/>
        </w:rPr>
        <w:t>e</w:t>
      </w:r>
      <w:proofErr w:type="spellEnd"/>
      <w:r w:rsidRPr="0063115A">
        <w:rPr>
          <w:sz w:val="22"/>
          <w:szCs w:val="22"/>
        </w:rPr>
        <w:t xml:space="preserve"> Tai</w:t>
      </w:r>
      <w:r w:rsidR="00C8036E" w:rsidRPr="0063115A">
        <w:rPr>
          <w:sz w:val="22"/>
          <w:szCs w:val="22"/>
        </w:rPr>
        <w:t xml:space="preserve"> </w:t>
      </w:r>
      <w:proofErr w:type="spellStart"/>
      <w:r w:rsidR="00C8036E" w:rsidRPr="0063115A">
        <w:rPr>
          <w:sz w:val="22"/>
          <w:szCs w:val="22"/>
        </w:rPr>
        <w:t>A</w:t>
      </w:r>
      <w:r w:rsidRPr="0063115A">
        <w:rPr>
          <w:sz w:val="22"/>
          <w:szCs w:val="22"/>
        </w:rPr>
        <w:t>o</w:t>
      </w:r>
      <w:proofErr w:type="spellEnd"/>
      <w:r w:rsidRPr="0063115A">
        <w:rPr>
          <w:sz w:val="22"/>
          <w:szCs w:val="22"/>
        </w:rPr>
        <w:t xml:space="preserve">’ includes not just the biophysical values of the environment, but the various social, economic and cultural values that are equally critical in determining the systemic wellbeing of the environment. </w:t>
      </w:r>
      <w:r w:rsidR="00C8036E" w:rsidRPr="0063115A">
        <w:rPr>
          <w:sz w:val="22"/>
          <w:szCs w:val="22"/>
        </w:rPr>
        <w:t xml:space="preserve">The purpose of upholding </w:t>
      </w:r>
      <w:proofErr w:type="spellStart"/>
      <w:r w:rsidRPr="0063115A">
        <w:rPr>
          <w:sz w:val="22"/>
          <w:szCs w:val="22"/>
        </w:rPr>
        <w:t>Te</w:t>
      </w:r>
      <w:proofErr w:type="spellEnd"/>
      <w:r w:rsidRPr="0063115A">
        <w:rPr>
          <w:sz w:val="22"/>
          <w:szCs w:val="22"/>
        </w:rPr>
        <w:t xml:space="preserve"> Mana o </w:t>
      </w:r>
      <w:proofErr w:type="spellStart"/>
      <w:r w:rsidRPr="0063115A">
        <w:rPr>
          <w:sz w:val="22"/>
          <w:szCs w:val="22"/>
        </w:rPr>
        <w:t>te</w:t>
      </w:r>
      <w:proofErr w:type="spellEnd"/>
      <w:r w:rsidRPr="0063115A">
        <w:rPr>
          <w:sz w:val="22"/>
          <w:szCs w:val="22"/>
        </w:rPr>
        <w:t xml:space="preserve"> </w:t>
      </w:r>
      <w:proofErr w:type="spellStart"/>
      <w:r w:rsidRPr="0063115A">
        <w:rPr>
          <w:sz w:val="22"/>
          <w:szCs w:val="22"/>
        </w:rPr>
        <w:t>Taiao</w:t>
      </w:r>
      <w:proofErr w:type="spellEnd"/>
      <w:r w:rsidRPr="0063115A">
        <w:rPr>
          <w:sz w:val="22"/>
          <w:szCs w:val="22"/>
        </w:rPr>
        <w:t xml:space="preserve"> therefore requires that wellbeing includ</w:t>
      </w:r>
      <w:r w:rsidR="00C8036E" w:rsidRPr="0063115A">
        <w:rPr>
          <w:sz w:val="22"/>
          <w:szCs w:val="22"/>
        </w:rPr>
        <w:t>e</w:t>
      </w:r>
      <w:r w:rsidRPr="0063115A">
        <w:rPr>
          <w:sz w:val="22"/>
          <w:szCs w:val="22"/>
        </w:rPr>
        <w:t xml:space="preserve"> limits </w:t>
      </w:r>
      <w:r w:rsidR="00C8036E" w:rsidRPr="0063115A">
        <w:rPr>
          <w:sz w:val="22"/>
          <w:szCs w:val="22"/>
        </w:rPr>
        <w:t>to use and discharges, with</w:t>
      </w:r>
      <w:r w:rsidRPr="0063115A">
        <w:rPr>
          <w:sz w:val="22"/>
          <w:szCs w:val="22"/>
        </w:rPr>
        <w:t xml:space="preserve"> outcomes </w:t>
      </w:r>
      <w:r w:rsidR="00C8036E" w:rsidRPr="0063115A">
        <w:rPr>
          <w:sz w:val="22"/>
          <w:szCs w:val="22"/>
        </w:rPr>
        <w:t xml:space="preserve">that </w:t>
      </w:r>
      <w:r w:rsidRPr="0063115A">
        <w:rPr>
          <w:sz w:val="22"/>
          <w:szCs w:val="22"/>
        </w:rPr>
        <w:t xml:space="preserve">are identified across the spectrum of </w:t>
      </w:r>
      <w:proofErr w:type="spellStart"/>
      <w:r w:rsidR="00C8036E" w:rsidRPr="0063115A">
        <w:rPr>
          <w:sz w:val="22"/>
          <w:szCs w:val="22"/>
        </w:rPr>
        <w:t>Te</w:t>
      </w:r>
      <w:proofErr w:type="spellEnd"/>
      <w:r w:rsidR="00C8036E" w:rsidRPr="0063115A">
        <w:rPr>
          <w:sz w:val="22"/>
          <w:szCs w:val="22"/>
        </w:rPr>
        <w:t xml:space="preserve"> </w:t>
      </w:r>
      <w:r w:rsidRPr="0063115A">
        <w:rPr>
          <w:sz w:val="22"/>
          <w:szCs w:val="22"/>
        </w:rPr>
        <w:t>Tai</w:t>
      </w:r>
      <w:r w:rsidR="00C8036E" w:rsidRPr="0063115A">
        <w:rPr>
          <w:sz w:val="22"/>
          <w:szCs w:val="22"/>
        </w:rPr>
        <w:t xml:space="preserve"> </w:t>
      </w:r>
      <w:proofErr w:type="spellStart"/>
      <w:r w:rsidR="00C8036E" w:rsidRPr="0063115A">
        <w:rPr>
          <w:sz w:val="22"/>
          <w:szCs w:val="22"/>
        </w:rPr>
        <w:t>A</w:t>
      </w:r>
      <w:r w:rsidRPr="0063115A">
        <w:rPr>
          <w:sz w:val="22"/>
          <w:szCs w:val="22"/>
        </w:rPr>
        <w:t>o</w:t>
      </w:r>
      <w:proofErr w:type="spellEnd"/>
      <w:r w:rsidRPr="0063115A">
        <w:rPr>
          <w:sz w:val="22"/>
          <w:szCs w:val="22"/>
        </w:rPr>
        <w:t xml:space="preserve"> values. </w:t>
      </w:r>
    </w:p>
    <w:p w:rsidR="006A5250" w:rsidRPr="00F83442" w:rsidRDefault="006A5250" w:rsidP="002E2CE5">
      <w:pPr>
        <w:spacing w:line="276" w:lineRule="auto"/>
      </w:pPr>
    </w:p>
    <w:p w:rsidR="007B6164" w:rsidRPr="00F83442" w:rsidRDefault="005F644C" w:rsidP="002E2CE5">
      <w:pPr>
        <w:spacing w:line="276" w:lineRule="auto"/>
        <w:rPr>
          <w:b/>
          <w:i/>
          <w:sz w:val="22"/>
          <w:szCs w:val="22"/>
        </w:rPr>
      </w:pPr>
      <w:r w:rsidRPr="00F83442">
        <w:rPr>
          <w:b/>
          <w:i/>
          <w:sz w:val="22"/>
          <w:szCs w:val="22"/>
        </w:rPr>
        <w:t>Conclusion</w:t>
      </w:r>
      <w:r w:rsidR="00734613" w:rsidRPr="00F83442">
        <w:rPr>
          <w:b/>
          <w:i/>
          <w:sz w:val="22"/>
          <w:szCs w:val="22"/>
        </w:rPr>
        <w:t xml:space="preserve"> – Solidarity for Climate Change and the Interface with Water</w:t>
      </w:r>
    </w:p>
    <w:p w:rsidR="005F644C" w:rsidRPr="00F83442" w:rsidRDefault="005F644C" w:rsidP="002E2CE5">
      <w:pPr>
        <w:spacing w:line="276" w:lineRule="auto"/>
        <w:rPr>
          <w:sz w:val="22"/>
          <w:szCs w:val="22"/>
        </w:rPr>
      </w:pPr>
    </w:p>
    <w:p w:rsidR="00734613" w:rsidRPr="0063115A" w:rsidRDefault="005F644C" w:rsidP="002E2CE5">
      <w:pPr>
        <w:spacing w:line="276" w:lineRule="auto"/>
        <w:jc w:val="both"/>
        <w:rPr>
          <w:color w:val="000000" w:themeColor="text1"/>
          <w:sz w:val="22"/>
          <w:szCs w:val="22"/>
        </w:rPr>
      </w:pPr>
      <w:r w:rsidRPr="0063115A">
        <w:rPr>
          <w:color w:val="000000" w:themeColor="text1"/>
          <w:sz w:val="22"/>
          <w:szCs w:val="22"/>
        </w:rPr>
        <w:t xml:space="preserve">This </w:t>
      </w:r>
      <w:r w:rsidR="00793D1C" w:rsidRPr="0063115A">
        <w:rPr>
          <w:color w:val="000000" w:themeColor="text1"/>
          <w:sz w:val="22"/>
          <w:szCs w:val="22"/>
        </w:rPr>
        <w:t xml:space="preserve">submission draws on </w:t>
      </w:r>
      <w:r w:rsidRPr="0063115A">
        <w:rPr>
          <w:color w:val="000000" w:themeColor="text1"/>
          <w:sz w:val="22"/>
          <w:szCs w:val="22"/>
        </w:rPr>
        <w:t>the view that climate change inaugurate</w:t>
      </w:r>
      <w:r w:rsidR="00AE4D05">
        <w:rPr>
          <w:color w:val="000000" w:themeColor="text1"/>
          <w:sz w:val="22"/>
          <w:szCs w:val="22"/>
        </w:rPr>
        <w:t>s</w:t>
      </w:r>
      <w:r w:rsidRPr="0063115A">
        <w:rPr>
          <w:color w:val="000000" w:themeColor="text1"/>
          <w:sz w:val="22"/>
          <w:szCs w:val="22"/>
        </w:rPr>
        <w:t xml:space="preserve"> </w:t>
      </w:r>
      <w:r w:rsidR="00734613" w:rsidRPr="0063115A">
        <w:rPr>
          <w:color w:val="000000" w:themeColor="text1"/>
          <w:sz w:val="22"/>
          <w:szCs w:val="22"/>
        </w:rPr>
        <w:t xml:space="preserve">a new era of </w:t>
      </w:r>
      <w:r w:rsidRPr="0063115A">
        <w:rPr>
          <w:color w:val="000000" w:themeColor="text1"/>
          <w:sz w:val="22"/>
          <w:szCs w:val="22"/>
        </w:rPr>
        <w:t xml:space="preserve">solidarity </w:t>
      </w:r>
      <w:r w:rsidR="00793D1C" w:rsidRPr="0063115A">
        <w:rPr>
          <w:color w:val="000000" w:themeColor="text1"/>
          <w:sz w:val="22"/>
          <w:szCs w:val="22"/>
        </w:rPr>
        <w:t>between human communities</w:t>
      </w:r>
      <w:r w:rsidR="00734613" w:rsidRPr="0063115A">
        <w:rPr>
          <w:color w:val="000000" w:themeColor="text1"/>
          <w:sz w:val="22"/>
          <w:szCs w:val="22"/>
        </w:rPr>
        <w:t xml:space="preserve">. </w:t>
      </w:r>
      <w:r w:rsidR="00793D1C" w:rsidRPr="0063115A">
        <w:rPr>
          <w:color w:val="000000" w:themeColor="text1"/>
          <w:sz w:val="22"/>
          <w:szCs w:val="22"/>
        </w:rPr>
        <w:t xml:space="preserve"> </w:t>
      </w:r>
      <w:r w:rsidR="00734613" w:rsidRPr="0063115A">
        <w:rPr>
          <w:color w:val="000000" w:themeColor="text1"/>
          <w:sz w:val="22"/>
          <w:szCs w:val="22"/>
        </w:rPr>
        <w:t>Solidarity brings with it c</w:t>
      </w:r>
      <w:r w:rsidR="00793D1C" w:rsidRPr="0063115A">
        <w:rPr>
          <w:color w:val="000000" w:themeColor="text1"/>
          <w:sz w:val="22"/>
          <w:szCs w:val="22"/>
        </w:rPr>
        <w:t>ollective responsibility for transitions to low emissions societies</w:t>
      </w:r>
      <w:r w:rsidR="00AE4D05">
        <w:rPr>
          <w:color w:val="000000" w:themeColor="text1"/>
          <w:sz w:val="22"/>
          <w:szCs w:val="22"/>
        </w:rPr>
        <w:t xml:space="preserve">, which </w:t>
      </w:r>
      <w:r w:rsidR="00793D1C" w:rsidRPr="0063115A">
        <w:rPr>
          <w:color w:val="000000" w:themeColor="text1"/>
          <w:sz w:val="22"/>
          <w:szCs w:val="22"/>
        </w:rPr>
        <w:t xml:space="preserve">runs across the spectrum from governance to community and individual action.   </w:t>
      </w:r>
    </w:p>
    <w:p w:rsidR="00734613" w:rsidRPr="0063115A" w:rsidRDefault="00734613" w:rsidP="002E2CE5">
      <w:pPr>
        <w:spacing w:line="276" w:lineRule="auto"/>
        <w:jc w:val="both"/>
        <w:rPr>
          <w:color w:val="000000" w:themeColor="text1"/>
          <w:sz w:val="22"/>
          <w:szCs w:val="22"/>
        </w:rPr>
      </w:pPr>
    </w:p>
    <w:p w:rsidR="00734613" w:rsidRPr="0063115A" w:rsidRDefault="00793D1C" w:rsidP="002E2CE5">
      <w:pPr>
        <w:spacing w:line="276" w:lineRule="auto"/>
        <w:jc w:val="both"/>
        <w:rPr>
          <w:color w:val="000000" w:themeColor="text1"/>
          <w:sz w:val="22"/>
          <w:szCs w:val="22"/>
        </w:rPr>
      </w:pPr>
      <w:r w:rsidRPr="0063115A">
        <w:rPr>
          <w:color w:val="000000" w:themeColor="text1"/>
          <w:sz w:val="22"/>
          <w:szCs w:val="22"/>
        </w:rPr>
        <w:t>Solidarity is an invitation to d</w:t>
      </w:r>
      <w:r w:rsidR="00734613" w:rsidRPr="0063115A">
        <w:rPr>
          <w:color w:val="000000" w:themeColor="text1"/>
          <w:sz w:val="22"/>
          <w:szCs w:val="22"/>
        </w:rPr>
        <w:t>r</w:t>
      </w:r>
      <w:r w:rsidRPr="0063115A">
        <w:rPr>
          <w:color w:val="000000" w:themeColor="text1"/>
          <w:sz w:val="22"/>
          <w:szCs w:val="22"/>
        </w:rPr>
        <w:t xml:space="preserve">aw on plurality of </w:t>
      </w:r>
      <w:r w:rsidR="00FB4722">
        <w:rPr>
          <w:color w:val="000000" w:themeColor="text1"/>
          <w:sz w:val="22"/>
          <w:szCs w:val="22"/>
        </w:rPr>
        <w:t xml:space="preserve">knowledge </w:t>
      </w:r>
      <w:r w:rsidRPr="0063115A">
        <w:rPr>
          <w:color w:val="000000" w:themeColor="text1"/>
          <w:sz w:val="22"/>
          <w:szCs w:val="22"/>
        </w:rPr>
        <w:t xml:space="preserve">traditions as a source of innovation; in Aotearoa we have the integrated knowledge systems of </w:t>
      </w:r>
      <w:proofErr w:type="spellStart"/>
      <w:r w:rsidRPr="0063115A">
        <w:rPr>
          <w:color w:val="000000" w:themeColor="text1"/>
          <w:sz w:val="22"/>
          <w:szCs w:val="22"/>
        </w:rPr>
        <w:t>mātauranga</w:t>
      </w:r>
      <w:proofErr w:type="spellEnd"/>
      <w:r w:rsidRPr="0063115A">
        <w:rPr>
          <w:color w:val="000000" w:themeColor="text1"/>
          <w:sz w:val="22"/>
          <w:szCs w:val="22"/>
        </w:rPr>
        <w:t xml:space="preserve"> Maori and ecosystem sciences  to </w:t>
      </w:r>
      <w:r w:rsidR="005F644C" w:rsidRPr="0063115A">
        <w:rPr>
          <w:color w:val="000000" w:themeColor="text1"/>
          <w:sz w:val="22"/>
          <w:szCs w:val="22"/>
        </w:rPr>
        <w:t xml:space="preserve">rehabilitate </w:t>
      </w:r>
      <w:r w:rsidRPr="0063115A">
        <w:rPr>
          <w:color w:val="000000" w:themeColor="text1"/>
          <w:sz w:val="22"/>
          <w:szCs w:val="22"/>
        </w:rPr>
        <w:t xml:space="preserve">ourselves </w:t>
      </w:r>
      <w:r w:rsidR="00424A90" w:rsidRPr="0063115A">
        <w:rPr>
          <w:color w:val="000000" w:themeColor="text1"/>
          <w:sz w:val="22"/>
          <w:szCs w:val="22"/>
        </w:rPr>
        <w:t xml:space="preserve">to the view that all things are connected. </w:t>
      </w:r>
      <w:r w:rsidRPr="0063115A">
        <w:rPr>
          <w:color w:val="000000" w:themeColor="text1"/>
          <w:sz w:val="22"/>
          <w:szCs w:val="22"/>
        </w:rPr>
        <w:t xml:space="preserve"> </w:t>
      </w:r>
      <w:r w:rsidR="00424A90" w:rsidRPr="0063115A">
        <w:rPr>
          <w:color w:val="000000" w:themeColor="text1"/>
          <w:sz w:val="22"/>
          <w:szCs w:val="22"/>
        </w:rPr>
        <w:t>R</w:t>
      </w:r>
      <w:r w:rsidRPr="0063115A">
        <w:rPr>
          <w:color w:val="000000" w:themeColor="text1"/>
          <w:sz w:val="22"/>
          <w:szCs w:val="22"/>
        </w:rPr>
        <w:t>emed</w:t>
      </w:r>
      <w:r w:rsidR="00424A90" w:rsidRPr="0063115A">
        <w:rPr>
          <w:color w:val="000000" w:themeColor="text1"/>
          <w:sz w:val="22"/>
          <w:szCs w:val="22"/>
        </w:rPr>
        <w:t>ies to</w:t>
      </w:r>
      <w:r w:rsidRPr="0063115A">
        <w:rPr>
          <w:color w:val="000000" w:themeColor="text1"/>
          <w:sz w:val="22"/>
          <w:szCs w:val="22"/>
        </w:rPr>
        <w:t xml:space="preserve"> climate change </w:t>
      </w:r>
      <w:r w:rsidR="00424A90" w:rsidRPr="0063115A">
        <w:rPr>
          <w:color w:val="000000" w:themeColor="text1"/>
          <w:sz w:val="22"/>
          <w:szCs w:val="22"/>
        </w:rPr>
        <w:t xml:space="preserve">include working with </w:t>
      </w:r>
      <w:r w:rsidR="00734613" w:rsidRPr="0063115A">
        <w:rPr>
          <w:color w:val="000000" w:themeColor="text1"/>
          <w:sz w:val="22"/>
          <w:szCs w:val="22"/>
        </w:rPr>
        <w:t xml:space="preserve">tikanga and </w:t>
      </w:r>
      <w:proofErr w:type="spellStart"/>
      <w:r w:rsidR="005F644C" w:rsidRPr="0063115A">
        <w:rPr>
          <w:color w:val="000000" w:themeColor="text1"/>
          <w:sz w:val="22"/>
          <w:szCs w:val="22"/>
        </w:rPr>
        <w:t>kaitiakitanga</w:t>
      </w:r>
      <w:proofErr w:type="spellEnd"/>
      <w:r w:rsidR="005F644C" w:rsidRPr="0063115A">
        <w:rPr>
          <w:color w:val="000000" w:themeColor="text1"/>
          <w:sz w:val="22"/>
          <w:szCs w:val="22"/>
        </w:rPr>
        <w:t xml:space="preserve">, ecosystem </w:t>
      </w:r>
      <w:r w:rsidRPr="0063115A">
        <w:rPr>
          <w:color w:val="000000" w:themeColor="text1"/>
          <w:sz w:val="22"/>
          <w:szCs w:val="22"/>
        </w:rPr>
        <w:t xml:space="preserve">and </w:t>
      </w:r>
      <w:r w:rsidR="005F644C" w:rsidRPr="0063115A">
        <w:rPr>
          <w:color w:val="000000" w:themeColor="text1"/>
          <w:sz w:val="22"/>
          <w:szCs w:val="22"/>
        </w:rPr>
        <w:t>human</w:t>
      </w:r>
      <w:r w:rsidRPr="0063115A">
        <w:rPr>
          <w:color w:val="000000" w:themeColor="text1"/>
          <w:sz w:val="22"/>
          <w:szCs w:val="22"/>
        </w:rPr>
        <w:t xml:space="preserve"> health and </w:t>
      </w:r>
      <w:r w:rsidR="00424A90" w:rsidRPr="0063115A">
        <w:rPr>
          <w:color w:val="000000" w:themeColor="text1"/>
          <w:sz w:val="22"/>
          <w:szCs w:val="22"/>
        </w:rPr>
        <w:t xml:space="preserve">allowing </w:t>
      </w:r>
      <w:r w:rsidR="005F644C" w:rsidRPr="0063115A">
        <w:rPr>
          <w:color w:val="000000" w:themeColor="text1"/>
          <w:sz w:val="22"/>
          <w:szCs w:val="22"/>
        </w:rPr>
        <w:t xml:space="preserve">development </w:t>
      </w:r>
      <w:r w:rsidRPr="0063115A">
        <w:rPr>
          <w:color w:val="000000" w:themeColor="text1"/>
          <w:sz w:val="22"/>
          <w:szCs w:val="22"/>
        </w:rPr>
        <w:t xml:space="preserve">within renewable capacity of </w:t>
      </w:r>
      <w:proofErr w:type="spellStart"/>
      <w:r w:rsidRPr="0063115A">
        <w:rPr>
          <w:color w:val="000000" w:themeColor="text1"/>
          <w:sz w:val="22"/>
          <w:szCs w:val="22"/>
        </w:rPr>
        <w:t>Te</w:t>
      </w:r>
      <w:proofErr w:type="spellEnd"/>
      <w:r w:rsidRPr="0063115A">
        <w:rPr>
          <w:color w:val="000000" w:themeColor="text1"/>
          <w:sz w:val="22"/>
          <w:szCs w:val="22"/>
        </w:rPr>
        <w:t xml:space="preserve"> Tai </w:t>
      </w:r>
      <w:proofErr w:type="spellStart"/>
      <w:r w:rsidRPr="0063115A">
        <w:rPr>
          <w:color w:val="000000" w:themeColor="text1"/>
          <w:sz w:val="22"/>
          <w:szCs w:val="22"/>
        </w:rPr>
        <w:t>Ao</w:t>
      </w:r>
      <w:proofErr w:type="spellEnd"/>
      <w:r w:rsidRPr="0063115A">
        <w:rPr>
          <w:color w:val="000000" w:themeColor="text1"/>
          <w:sz w:val="22"/>
          <w:szCs w:val="22"/>
        </w:rPr>
        <w:t xml:space="preserve">. </w:t>
      </w:r>
    </w:p>
    <w:p w:rsidR="00734613" w:rsidRPr="0063115A" w:rsidRDefault="00734613" w:rsidP="002E2CE5">
      <w:pPr>
        <w:spacing w:line="276" w:lineRule="auto"/>
        <w:jc w:val="both"/>
        <w:rPr>
          <w:color w:val="000000" w:themeColor="text1"/>
          <w:sz w:val="22"/>
          <w:szCs w:val="22"/>
        </w:rPr>
      </w:pPr>
    </w:p>
    <w:p w:rsidR="00734613" w:rsidRPr="0063115A" w:rsidRDefault="00734613" w:rsidP="002E2CE5">
      <w:pPr>
        <w:spacing w:line="276" w:lineRule="auto"/>
        <w:jc w:val="both"/>
        <w:rPr>
          <w:color w:val="000000" w:themeColor="text1"/>
          <w:sz w:val="22"/>
          <w:szCs w:val="22"/>
        </w:rPr>
      </w:pPr>
      <w:r w:rsidRPr="0063115A">
        <w:rPr>
          <w:color w:val="000000" w:themeColor="text1"/>
          <w:sz w:val="22"/>
          <w:szCs w:val="22"/>
        </w:rPr>
        <w:t>Institutions for governance at national and catchment levels</w:t>
      </w:r>
      <w:r w:rsidR="00F83442" w:rsidRPr="0063115A">
        <w:rPr>
          <w:color w:val="000000" w:themeColor="text1"/>
          <w:sz w:val="22"/>
          <w:szCs w:val="22"/>
        </w:rPr>
        <w:t>, with</w:t>
      </w:r>
      <w:r w:rsidRPr="0063115A">
        <w:rPr>
          <w:color w:val="000000" w:themeColor="text1"/>
          <w:sz w:val="22"/>
          <w:szCs w:val="22"/>
        </w:rPr>
        <w:t xml:space="preserve"> subsidiarity are needed for the complex systems of climate change. </w:t>
      </w:r>
    </w:p>
    <w:p w:rsidR="00734613" w:rsidRPr="0063115A" w:rsidRDefault="00734613" w:rsidP="002E2CE5">
      <w:pPr>
        <w:spacing w:line="276" w:lineRule="auto"/>
        <w:jc w:val="both"/>
        <w:rPr>
          <w:color w:val="000000" w:themeColor="text1"/>
          <w:sz w:val="22"/>
          <w:szCs w:val="22"/>
        </w:rPr>
      </w:pPr>
    </w:p>
    <w:p w:rsidR="005F644C" w:rsidRPr="0063115A" w:rsidRDefault="00734613" w:rsidP="002E2CE5">
      <w:pPr>
        <w:spacing w:line="276" w:lineRule="auto"/>
        <w:jc w:val="both"/>
        <w:rPr>
          <w:color w:val="000000" w:themeColor="text1"/>
          <w:sz w:val="22"/>
          <w:szCs w:val="22"/>
        </w:rPr>
      </w:pPr>
      <w:r w:rsidRPr="0063115A">
        <w:rPr>
          <w:color w:val="000000" w:themeColor="text1"/>
          <w:sz w:val="22"/>
          <w:szCs w:val="22"/>
        </w:rPr>
        <w:t>We recommend that the Climate Change Commission takes into account the climate change-water interface. This includes adaptive systems, the implications for land use food production</w:t>
      </w:r>
      <w:r w:rsidR="00F83442" w:rsidRPr="0063115A">
        <w:rPr>
          <w:color w:val="000000" w:themeColor="text1"/>
          <w:sz w:val="22"/>
          <w:szCs w:val="22"/>
        </w:rPr>
        <w:t xml:space="preserve"> and food security</w:t>
      </w:r>
      <w:r w:rsidRPr="0063115A">
        <w:rPr>
          <w:color w:val="000000" w:themeColor="text1"/>
          <w:sz w:val="22"/>
          <w:szCs w:val="22"/>
        </w:rPr>
        <w:t xml:space="preserve">, and long term </w:t>
      </w:r>
      <w:r w:rsidR="005F644C" w:rsidRPr="0063115A">
        <w:rPr>
          <w:color w:val="000000" w:themeColor="text1"/>
          <w:sz w:val="22"/>
          <w:szCs w:val="22"/>
        </w:rPr>
        <w:t>decision-making</w:t>
      </w:r>
      <w:r w:rsidR="00F83442" w:rsidRPr="0063115A">
        <w:rPr>
          <w:color w:val="000000" w:themeColor="text1"/>
          <w:sz w:val="22"/>
          <w:szCs w:val="22"/>
        </w:rPr>
        <w:t xml:space="preserve"> in </w:t>
      </w:r>
      <w:proofErr w:type="spellStart"/>
      <w:r w:rsidR="00F83442" w:rsidRPr="0063115A">
        <w:rPr>
          <w:color w:val="000000" w:themeColor="text1"/>
          <w:sz w:val="22"/>
          <w:szCs w:val="22"/>
        </w:rPr>
        <w:t>Te</w:t>
      </w:r>
      <w:proofErr w:type="spellEnd"/>
      <w:r w:rsidR="00F83442" w:rsidRPr="0063115A">
        <w:rPr>
          <w:color w:val="000000" w:themeColor="text1"/>
          <w:sz w:val="22"/>
          <w:szCs w:val="22"/>
        </w:rPr>
        <w:t xml:space="preserve"> </w:t>
      </w:r>
      <w:proofErr w:type="spellStart"/>
      <w:r w:rsidR="00F83442" w:rsidRPr="0063115A">
        <w:rPr>
          <w:color w:val="000000" w:themeColor="text1"/>
          <w:sz w:val="22"/>
          <w:szCs w:val="22"/>
        </w:rPr>
        <w:t>Tiriti</w:t>
      </w:r>
      <w:proofErr w:type="spellEnd"/>
      <w:r w:rsidR="00F83442" w:rsidRPr="0063115A">
        <w:rPr>
          <w:color w:val="000000" w:themeColor="text1"/>
          <w:sz w:val="22"/>
          <w:szCs w:val="22"/>
        </w:rPr>
        <w:t xml:space="preserve"> o Waitangi framework</w:t>
      </w:r>
      <w:r w:rsidR="005F644C" w:rsidRPr="0063115A">
        <w:rPr>
          <w:color w:val="000000" w:themeColor="text1"/>
          <w:sz w:val="22"/>
          <w:szCs w:val="22"/>
        </w:rPr>
        <w:t>.</w:t>
      </w:r>
    </w:p>
    <w:p w:rsidR="00F83442" w:rsidRDefault="00F83442" w:rsidP="002E2CE5">
      <w:pPr>
        <w:spacing w:line="276" w:lineRule="auto"/>
        <w:jc w:val="both"/>
        <w:rPr>
          <w:color w:val="000000" w:themeColor="text1"/>
        </w:rPr>
      </w:pPr>
    </w:p>
    <w:p w:rsidR="00F83442" w:rsidRPr="0063115A" w:rsidRDefault="00F83442" w:rsidP="002E2CE5">
      <w:pPr>
        <w:spacing w:line="276" w:lineRule="auto"/>
        <w:jc w:val="both"/>
        <w:rPr>
          <w:color w:val="000000" w:themeColor="text1"/>
          <w:sz w:val="22"/>
          <w:szCs w:val="22"/>
        </w:rPr>
      </w:pPr>
      <w:r w:rsidRPr="0063115A">
        <w:rPr>
          <w:color w:val="000000" w:themeColor="text1"/>
          <w:sz w:val="22"/>
          <w:szCs w:val="22"/>
        </w:rPr>
        <w:t xml:space="preserve">Thank you for the opportunity of making this submission. Please contact Betsan Martin for any further matters concerning this submission. </w:t>
      </w:r>
    </w:p>
    <w:p w:rsidR="0063115A" w:rsidRPr="0063115A" w:rsidRDefault="0063115A" w:rsidP="002E2CE5">
      <w:pPr>
        <w:spacing w:line="276" w:lineRule="auto"/>
        <w:jc w:val="both"/>
        <w:rPr>
          <w:color w:val="000000" w:themeColor="text1"/>
          <w:sz w:val="22"/>
          <w:szCs w:val="22"/>
        </w:rPr>
      </w:pPr>
    </w:p>
    <w:p w:rsidR="0063115A" w:rsidRPr="00AE4D05" w:rsidRDefault="0063115A" w:rsidP="00AE4D05">
      <w:pPr>
        <w:spacing w:line="276" w:lineRule="auto"/>
        <w:rPr>
          <w:color w:val="000000"/>
          <w:sz w:val="22"/>
          <w:szCs w:val="22"/>
          <w:lang w:eastAsia="en-NZ"/>
        </w:rPr>
      </w:pPr>
      <w:proofErr w:type="spellStart"/>
      <w:r w:rsidRPr="0063115A">
        <w:rPr>
          <w:color w:val="000000"/>
          <w:sz w:val="22"/>
          <w:szCs w:val="22"/>
          <w:lang w:eastAsia="en-NZ"/>
        </w:rPr>
        <w:t>Hei</w:t>
      </w:r>
      <w:proofErr w:type="spellEnd"/>
      <w:r w:rsidRPr="0063115A">
        <w:rPr>
          <w:color w:val="000000"/>
          <w:sz w:val="22"/>
          <w:szCs w:val="22"/>
          <w:lang w:eastAsia="en-NZ"/>
        </w:rPr>
        <w:t xml:space="preserve"> </w:t>
      </w:r>
      <w:proofErr w:type="spellStart"/>
      <w:r w:rsidRPr="0063115A">
        <w:rPr>
          <w:color w:val="000000"/>
          <w:sz w:val="22"/>
          <w:szCs w:val="22"/>
          <w:lang w:eastAsia="en-NZ"/>
        </w:rPr>
        <w:t>konā</w:t>
      </w:r>
      <w:proofErr w:type="spellEnd"/>
      <w:r w:rsidRPr="0063115A">
        <w:rPr>
          <w:color w:val="000000"/>
          <w:sz w:val="22"/>
          <w:szCs w:val="22"/>
          <w:lang w:eastAsia="en-NZ"/>
        </w:rPr>
        <w:t xml:space="preserve"> </w:t>
      </w:r>
      <w:proofErr w:type="spellStart"/>
      <w:r w:rsidRPr="0063115A">
        <w:rPr>
          <w:color w:val="000000"/>
          <w:sz w:val="22"/>
          <w:szCs w:val="22"/>
          <w:lang w:eastAsia="en-NZ"/>
        </w:rPr>
        <w:t>i</w:t>
      </w:r>
      <w:proofErr w:type="spellEnd"/>
      <w:r w:rsidRPr="0063115A">
        <w:rPr>
          <w:color w:val="000000"/>
          <w:sz w:val="22"/>
          <w:szCs w:val="22"/>
          <w:lang w:eastAsia="en-NZ"/>
        </w:rPr>
        <w:t xml:space="preserve"> </w:t>
      </w:r>
      <w:proofErr w:type="spellStart"/>
      <w:r w:rsidRPr="0063115A">
        <w:rPr>
          <w:color w:val="000000"/>
          <w:sz w:val="22"/>
          <w:szCs w:val="22"/>
          <w:lang w:eastAsia="en-NZ"/>
        </w:rPr>
        <w:t>roto</w:t>
      </w:r>
      <w:proofErr w:type="spellEnd"/>
      <w:r w:rsidRPr="0063115A">
        <w:rPr>
          <w:color w:val="000000"/>
          <w:sz w:val="22"/>
          <w:szCs w:val="22"/>
          <w:lang w:eastAsia="en-NZ"/>
        </w:rPr>
        <w:t xml:space="preserve"> </w:t>
      </w:r>
      <w:proofErr w:type="spellStart"/>
      <w:r w:rsidRPr="0063115A">
        <w:rPr>
          <w:color w:val="000000"/>
          <w:sz w:val="22"/>
          <w:szCs w:val="22"/>
          <w:lang w:eastAsia="en-NZ"/>
        </w:rPr>
        <w:t>i</w:t>
      </w:r>
      <w:proofErr w:type="spellEnd"/>
      <w:r w:rsidRPr="0063115A">
        <w:rPr>
          <w:color w:val="000000"/>
          <w:sz w:val="22"/>
          <w:szCs w:val="22"/>
          <w:lang w:eastAsia="en-NZ"/>
        </w:rPr>
        <w:t xml:space="preserve"> </w:t>
      </w:r>
      <w:proofErr w:type="spellStart"/>
      <w:r w:rsidRPr="0063115A">
        <w:rPr>
          <w:color w:val="000000"/>
          <w:sz w:val="22"/>
          <w:szCs w:val="22"/>
          <w:lang w:eastAsia="en-NZ"/>
        </w:rPr>
        <w:t>ngā</w:t>
      </w:r>
      <w:proofErr w:type="spellEnd"/>
      <w:r w:rsidRPr="0063115A">
        <w:rPr>
          <w:color w:val="000000"/>
          <w:sz w:val="22"/>
          <w:szCs w:val="22"/>
          <w:lang w:eastAsia="en-NZ"/>
        </w:rPr>
        <w:t xml:space="preserve"> mihi,</w:t>
      </w:r>
    </w:p>
    <w:p w:rsidR="00F83442" w:rsidRDefault="00F83442" w:rsidP="002E2CE5">
      <w:pPr>
        <w:spacing w:line="276" w:lineRule="auto"/>
        <w:jc w:val="both"/>
        <w:rPr>
          <w:color w:val="000000" w:themeColor="text1"/>
        </w:rPr>
      </w:pPr>
      <w:r w:rsidRPr="00C96695">
        <w:rPr>
          <w:rFonts w:ascii="Book Antiqua" w:hAnsi="Book Antiqua"/>
          <w:noProof/>
          <w:sz w:val="22"/>
        </w:rPr>
        <w:drawing>
          <wp:inline distT="0" distB="0" distL="0" distR="0" wp14:anchorId="4F467ADB" wp14:editId="5DE3F8D3">
            <wp:extent cx="1765979" cy="49625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9" cy="496252"/>
                    </a:xfrm>
                    <a:prstGeom prst="rect">
                      <a:avLst/>
                    </a:prstGeom>
                    <a:noFill/>
                    <a:ln>
                      <a:noFill/>
                    </a:ln>
                  </pic:spPr>
                </pic:pic>
              </a:graphicData>
            </a:graphic>
          </wp:inline>
        </w:drawing>
      </w:r>
    </w:p>
    <w:p w:rsidR="00F83442" w:rsidRPr="0063115A" w:rsidRDefault="00F83442" w:rsidP="002E2CE5">
      <w:pPr>
        <w:spacing w:line="276" w:lineRule="auto"/>
        <w:jc w:val="both"/>
        <w:rPr>
          <w:color w:val="000000" w:themeColor="text1"/>
          <w:sz w:val="22"/>
          <w:szCs w:val="22"/>
        </w:rPr>
      </w:pPr>
      <w:r w:rsidRPr="0063115A">
        <w:rPr>
          <w:color w:val="000000" w:themeColor="text1"/>
          <w:sz w:val="22"/>
          <w:szCs w:val="22"/>
        </w:rPr>
        <w:t xml:space="preserve">Betsan Martin on behalf of the research team for </w:t>
      </w:r>
      <w:r w:rsidRPr="0063115A">
        <w:rPr>
          <w:i/>
          <w:sz w:val="22"/>
          <w:szCs w:val="22"/>
        </w:rPr>
        <w:t>Towards a Rangatiratanga Framework for the Governance of Waterways.</w:t>
      </w:r>
    </w:p>
    <w:sectPr w:rsidR="00F83442" w:rsidRPr="0063115A" w:rsidSect="00AE4D05">
      <w:footerReference w:type="even" r:id="rId10"/>
      <w:footerReference w:type="default" r:id="rId11"/>
      <w:pgSz w:w="11900" w:h="16840"/>
      <w:pgMar w:top="880" w:right="1440" w:bottom="13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C1B" w:rsidRDefault="00211C1B" w:rsidP="006A5250">
      <w:r>
        <w:separator/>
      </w:r>
    </w:p>
  </w:endnote>
  <w:endnote w:type="continuationSeparator" w:id="0">
    <w:p w:rsidR="00211C1B" w:rsidRDefault="00211C1B" w:rsidP="006A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890895"/>
      <w:docPartObj>
        <w:docPartGallery w:val="Page Numbers (Bottom of Page)"/>
        <w:docPartUnique/>
      </w:docPartObj>
    </w:sdtPr>
    <w:sdtEndPr>
      <w:rPr>
        <w:rStyle w:val="PageNumber"/>
      </w:rPr>
    </w:sdtEndPr>
    <w:sdtContent>
      <w:p w:rsidR="007B6164" w:rsidRDefault="007B6164" w:rsidP="008B1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6164" w:rsidRDefault="007B6164" w:rsidP="007B6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166224"/>
      <w:docPartObj>
        <w:docPartGallery w:val="Page Numbers (Bottom of Page)"/>
        <w:docPartUnique/>
      </w:docPartObj>
    </w:sdtPr>
    <w:sdtEndPr>
      <w:rPr>
        <w:rStyle w:val="PageNumber"/>
      </w:rPr>
    </w:sdtEndPr>
    <w:sdtContent>
      <w:p w:rsidR="007B6164" w:rsidRDefault="007B6164" w:rsidP="008B1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B6164" w:rsidRDefault="007B6164" w:rsidP="007B6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C1B" w:rsidRDefault="00211C1B" w:rsidP="006A5250">
      <w:r>
        <w:separator/>
      </w:r>
    </w:p>
  </w:footnote>
  <w:footnote w:type="continuationSeparator" w:id="0">
    <w:p w:rsidR="00211C1B" w:rsidRDefault="00211C1B" w:rsidP="006A5250">
      <w:r>
        <w:continuationSeparator/>
      </w:r>
    </w:p>
  </w:footnote>
  <w:footnote w:id="1">
    <w:p w:rsidR="00D35F1D" w:rsidRPr="00F83442" w:rsidRDefault="00D35F1D" w:rsidP="00D35F1D">
      <w:pPr>
        <w:pStyle w:val="FootnoteText"/>
      </w:pPr>
      <w:r w:rsidRPr="00F83442">
        <w:rPr>
          <w:rStyle w:val="FootnoteReference"/>
        </w:rPr>
        <w:footnoteRef/>
      </w:r>
      <w:r w:rsidRPr="00F83442">
        <w:t xml:space="preserve"> Linda </w:t>
      </w:r>
      <w:proofErr w:type="spellStart"/>
      <w:r w:rsidRPr="00F83442">
        <w:t>Te</w:t>
      </w:r>
      <w:proofErr w:type="spellEnd"/>
      <w:r w:rsidRPr="00F83442">
        <w:t xml:space="preserve"> </w:t>
      </w:r>
      <w:proofErr w:type="spellStart"/>
      <w:r w:rsidRPr="00F83442">
        <w:t>Aho</w:t>
      </w:r>
      <w:proofErr w:type="spellEnd"/>
      <w:r w:rsidRPr="00F83442">
        <w:t xml:space="preserve">, Betsan Marin, New Zealand Māori Council (2021) </w:t>
      </w:r>
      <w:r w:rsidRPr="00F83442">
        <w:rPr>
          <w:i/>
        </w:rPr>
        <w:t>Towards a Rangatiratanga Framework for the Governance of Waterways</w:t>
      </w:r>
      <w:r w:rsidRPr="00F83442">
        <w:t>’. Forthcoming</w:t>
      </w:r>
    </w:p>
  </w:footnote>
  <w:footnote w:id="2">
    <w:p w:rsidR="00D35F1D" w:rsidRPr="00D35F1D" w:rsidRDefault="00D35F1D" w:rsidP="00D35F1D">
      <w:pPr>
        <w:spacing w:line="276" w:lineRule="auto"/>
        <w:jc w:val="both"/>
        <w:rPr>
          <w:color w:val="000000" w:themeColor="text1"/>
          <w:sz w:val="22"/>
          <w:szCs w:val="22"/>
        </w:rPr>
      </w:pPr>
      <w:r>
        <w:rPr>
          <w:rStyle w:val="FootnoteReference"/>
        </w:rPr>
        <w:footnoteRef/>
      </w:r>
      <w:r>
        <w:t xml:space="preserve"> </w:t>
      </w:r>
      <w:r w:rsidRPr="00D35F1D">
        <w:rPr>
          <w:color w:val="000000" w:themeColor="text1"/>
          <w:sz w:val="20"/>
          <w:szCs w:val="20"/>
        </w:rPr>
        <w:t>The research was funded by the NZ Law Foundation</w:t>
      </w:r>
      <w:r w:rsidRPr="0063115A">
        <w:rPr>
          <w:color w:val="000000" w:themeColor="text1"/>
          <w:sz w:val="22"/>
          <w:szCs w:val="22"/>
        </w:rPr>
        <w:t xml:space="preserve">. </w:t>
      </w:r>
    </w:p>
  </w:footnote>
  <w:footnote w:id="3">
    <w:p w:rsidR="00D35F1D" w:rsidRPr="00D35F1D" w:rsidRDefault="00D35F1D">
      <w:pPr>
        <w:pStyle w:val="FootnoteText"/>
      </w:pPr>
      <w:r>
        <w:rPr>
          <w:rStyle w:val="FootnoteReference"/>
        </w:rPr>
        <w:footnoteRef/>
      </w:r>
      <w:r>
        <w:t xml:space="preserve"> </w:t>
      </w:r>
      <w:r w:rsidRPr="00C0717A">
        <w:t>Resource Management Review Panel</w:t>
      </w:r>
      <w:r w:rsidRPr="00C0717A">
        <w:rPr>
          <w:i/>
          <w:iCs/>
        </w:rPr>
        <w:t xml:space="preserve"> New directions for resource management in New Zealand</w:t>
      </w:r>
      <w:r w:rsidRPr="00C0717A">
        <w:t xml:space="preserve"> (Ministry for the Environment</w:t>
      </w:r>
      <w:r>
        <w:t>)</w:t>
      </w:r>
      <w:r w:rsidRPr="00C0717A">
        <w:t xml:space="preserve"> 202</w:t>
      </w:r>
      <w:r>
        <w:t>0</w:t>
      </w:r>
      <w:r w:rsidRPr="00C0717A">
        <w:t>.</w:t>
      </w:r>
    </w:p>
  </w:footnote>
  <w:footnote w:id="4">
    <w:p w:rsidR="002C2D9A" w:rsidRPr="00D35F1D" w:rsidRDefault="002C2D9A" w:rsidP="00D35F1D">
      <w:pPr>
        <w:spacing w:line="276" w:lineRule="auto"/>
        <w:rPr>
          <w:color w:val="000000" w:themeColor="text1"/>
          <w:sz w:val="20"/>
          <w:szCs w:val="20"/>
        </w:rPr>
      </w:pPr>
      <w:r w:rsidRPr="00F83442">
        <w:rPr>
          <w:rStyle w:val="FootnoteReference"/>
          <w:szCs w:val="20"/>
        </w:rPr>
        <w:footnoteRef/>
      </w:r>
      <w:r w:rsidRPr="00F83442">
        <w:rPr>
          <w:sz w:val="20"/>
          <w:szCs w:val="20"/>
        </w:rPr>
        <w:t xml:space="preserve"> </w:t>
      </w:r>
      <w:r w:rsidRPr="00F83442">
        <w:rPr>
          <w:color w:val="000000" w:themeColor="text1"/>
          <w:sz w:val="20"/>
          <w:szCs w:val="20"/>
        </w:rPr>
        <w:t xml:space="preserve">Waitangi Tribunal </w:t>
      </w:r>
      <w:r w:rsidRPr="00F83442">
        <w:rPr>
          <w:i/>
          <w:iCs/>
          <w:color w:val="000000" w:themeColor="text1"/>
          <w:sz w:val="20"/>
          <w:szCs w:val="20"/>
        </w:rPr>
        <w:t xml:space="preserve">The </w:t>
      </w:r>
      <w:r w:rsidR="00D35F1D">
        <w:rPr>
          <w:i/>
          <w:iCs/>
          <w:color w:val="000000" w:themeColor="text1"/>
          <w:sz w:val="20"/>
          <w:szCs w:val="20"/>
        </w:rPr>
        <w:t>S</w:t>
      </w:r>
      <w:r w:rsidRPr="00F83442">
        <w:rPr>
          <w:i/>
          <w:iCs/>
          <w:color w:val="000000" w:themeColor="text1"/>
          <w:sz w:val="20"/>
          <w:szCs w:val="20"/>
        </w:rPr>
        <w:t>tage 2</w:t>
      </w:r>
      <w:r w:rsidR="00D35F1D">
        <w:rPr>
          <w:i/>
          <w:iCs/>
          <w:color w:val="000000" w:themeColor="text1"/>
          <w:sz w:val="20"/>
          <w:szCs w:val="20"/>
        </w:rPr>
        <w:t xml:space="preserve"> R</w:t>
      </w:r>
      <w:r w:rsidRPr="00F83442">
        <w:rPr>
          <w:i/>
          <w:iCs/>
          <w:color w:val="000000" w:themeColor="text1"/>
          <w:sz w:val="20"/>
          <w:szCs w:val="20"/>
        </w:rPr>
        <w:t>eport on the National Freshwater and Geothermal Resources claim</w:t>
      </w:r>
      <w:r w:rsidRPr="00F83442">
        <w:rPr>
          <w:color w:val="000000" w:themeColor="text1"/>
          <w:sz w:val="20"/>
          <w:szCs w:val="20"/>
        </w:rPr>
        <w:t xml:space="preserve"> (Wai 2358, 2019). </w:t>
      </w:r>
    </w:p>
  </w:footnote>
  <w:footnote w:id="5">
    <w:p w:rsidR="006A5250" w:rsidRPr="00F83442" w:rsidRDefault="006A5250" w:rsidP="000F655E">
      <w:pPr>
        <w:pStyle w:val="FootnoteText"/>
      </w:pPr>
      <w:r w:rsidRPr="00F83442">
        <w:rPr>
          <w:rStyle w:val="FootnoteReference"/>
        </w:rPr>
        <w:footnoteRef/>
      </w:r>
      <w:r w:rsidRPr="00F83442">
        <w:t xml:space="preserve"> Parliamentary Commissioner for the Environment (2020) ‘RMA Reform: coming the full circle’. RMLA Salmon Lecture 2020. Association for Resource Management Practitioners, Auckland. At.3</w:t>
      </w:r>
    </w:p>
  </w:footnote>
  <w:footnote w:id="6">
    <w:p w:rsidR="006A5250" w:rsidRPr="00F83442" w:rsidRDefault="006A5250" w:rsidP="006A5250">
      <w:pPr>
        <w:autoSpaceDE w:val="0"/>
        <w:autoSpaceDN w:val="0"/>
        <w:adjustRightInd w:val="0"/>
        <w:rPr>
          <w:sz w:val="20"/>
          <w:szCs w:val="20"/>
          <w:lang w:val="en-US"/>
        </w:rPr>
      </w:pPr>
      <w:r w:rsidRPr="00F83442">
        <w:rPr>
          <w:rStyle w:val="FootnoteReference"/>
          <w:szCs w:val="20"/>
        </w:rPr>
        <w:footnoteRef/>
      </w:r>
      <w:r w:rsidRPr="00F83442">
        <w:rPr>
          <w:sz w:val="20"/>
          <w:szCs w:val="20"/>
        </w:rPr>
        <w:t xml:space="preserve"> </w:t>
      </w:r>
      <w:r w:rsidRPr="00F83442">
        <w:rPr>
          <w:sz w:val="20"/>
          <w:szCs w:val="20"/>
          <w:lang w:val="en-US"/>
        </w:rPr>
        <w:t xml:space="preserve">Bates, B.C., Z.W. </w:t>
      </w:r>
      <w:proofErr w:type="spellStart"/>
      <w:r w:rsidRPr="00F83442">
        <w:rPr>
          <w:sz w:val="20"/>
          <w:szCs w:val="20"/>
          <w:lang w:val="en-US"/>
        </w:rPr>
        <w:t>Kundzewicz</w:t>
      </w:r>
      <w:proofErr w:type="spellEnd"/>
      <w:r w:rsidRPr="00F83442">
        <w:rPr>
          <w:sz w:val="20"/>
          <w:szCs w:val="20"/>
          <w:lang w:val="en-US"/>
        </w:rPr>
        <w:t xml:space="preserve">, S. Wu and J.P. </w:t>
      </w:r>
      <w:proofErr w:type="spellStart"/>
      <w:r w:rsidRPr="00F83442">
        <w:rPr>
          <w:sz w:val="20"/>
          <w:szCs w:val="20"/>
          <w:lang w:val="en-US"/>
        </w:rPr>
        <w:t>Palutikof</w:t>
      </w:r>
      <w:proofErr w:type="spellEnd"/>
      <w:r w:rsidRPr="00F83442">
        <w:rPr>
          <w:sz w:val="20"/>
          <w:szCs w:val="20"/>
          <w:lang w:val="en-US"/>
        </w:rPr>
        <w:t>, Eds., 2008: Climate Change and Water. Technical Paper of the Intergovernmental Panel on Climate Change, IPCC Secretariat, Geneva, 210 pp.</w:t>
      </w:r>
    </w:p>
  </w:footnote>
  <w:footnote w:id="7">
    <w:p w:rsidR="006A5250" w:rsidRPr="00F83442" w:rsidRDefault="006A5250" w:rsidP="006A5250">
      <w:pPr>
        <w:rPr>
          <w:sz w:val="20"/>
          <w:szCs w:val="20"/>
        </w:rPr>
      </w:pPr>
      <w:r w:rsidRPr="00F83442">
        <w:rPr>
          <w:rStyle w:val="FootnoteReference"/>
          <w:szCs w:val="20"/>
        </w:rPr>
        <w:footnoteRef/>
      </w:r>
      <w:r w:rsidRPr="00F83442">
        <w:rPr>
          <w:sz w:val="20"/>
          <w:szCs w:val="20"/>
        </w:rPr>
        <w:t xml:space="preserve"> IPCC 2019. </w:t>
      </w:r>
      <w:r w:rsidRPr="00F83442">
        <w:rPr>
          <w:i/>
          <w:sz w:val="20"/>
          <w:szCs w:val="20"/>
        </w:rPr>
        <w:t>Climate Change and Land</w:t>
      </w:r>
      <w:r w:rsidRPr="00F83442">
        <w:rPr>
          <w:sz w:val="20"/>
          <w:szCs w:val="20"/>
        </w:rPr>
        <w:t xml:space="preserve">. Summary for Policy Makers, </w:t>
      </w:r>
    </w:p>
    <w:p w:rsidR="006A5250" w:rsidRPr="00F83442" w:rsidRDefault="006A5250" w:rsidP="006A5250">
      <w:pPr>
        <w:rPr>
          <w:sz w:val="20"/>
          <w:szCs w:val="20"/>
        </w:rPr>
      </w:pPr>
      <w:r w:rsidRPr="00F83442">
        <w:rPr>
          <w:sz w:val="20"/>
          <w:szCs w:val="20"/>
        </w:rPr>
        <w:t xml:space="preserve">Full citation: IPCC, 2019: Summary for Policymakers. In: Climate Change and Land: an IPCC special report on climate change, desertification, land degradation, sustainable land management, food security, and greenhouse gas fluxes in terrestrial ecosystems [P.R. Shukla, J. </w:t>
      </w:r>
      <w:proofErr w:type="spellStart"/>
      <w:r w:rsidRPr="00F83442">
        <w:rPr>
          <w:sz w:val="20"/>
          <w:szCs w:val="20"/>
        </w:rPr>
        <w:t>Skea</w:t>
      </w:r>
      <w:proofErr w:type="spellEnd"/>
      <w:r w:rsidRPr="00F83442">
        <w:rPr>
          <w:sz w:val="20"/>
          <w:szCs w:val="20"/>
        </w:rPr>
        <w:t xml:space="preserve">, E. Calvo </w:t>
      </w:r>
      <w:proofErr w:type="spellStart"/>
      <w:r w:rsidRPr="00F83442">
        <w:rPr>
          <w:sz w:val="20"/>
          <w:szCs w:val="20"/>
        </w:rPr>
        <w:t>Buendia</w:t>
      </w:r>
      <w:proofErr w:type="spellEnd"/>
      <w:r w:rsidRPr="00F83442">
        <w:rPr>
          <w:sz w:val="20"/>
          <w:szCs w:val="20"/>
        </w:rPr>
        <w:t>, V. Masson-</w:t>
      </w:r>
      <w:proofErr w:type="spellStart"/>
      <w:r w:rsidRPr="00F83442">
        <w:rPr>
          <w:sz w:val="20"/>
          <w:szCs w:val="20"/>
        </w:rPr>
        <w:t>Delmotte</w:t>
      </w:r>
      <w:proofErr w:type="spellEnd"/>
      <w:r w:rsidRPr="00F83442">
        <w:rPr>
          <w:sz w:val="20"/>
          <w:szCs w:val="20"/>
        </w:rPr>
        <w:t xml:space="preserve">, H.- O. </w:t>
      </w:r>
      <w:proofErr w:type="spellStart"/>
      <w:r w:rsidRPr="00F83442">
        <w:rPr>
          <w:sz w:val="20"/>
          <w:szCs w:val="20"/>
        </w:rPr>
        <w:t>Pörtner</w:t>
      </w:r>
      <w:proofErr w:type="spellEnd"/>
      <w:r w:rsidRPr="00F83442">
        <w:rPr>
          <w:sz w:val="20"/>
          <w:szCs w:val="20"/>
        </w:rPr>
        <w:t xml:space="preserve">, D. C. Roberts, P. </w:t>
      </w:r>
      <w:proofErr w:type="spellStart"/>
      <w:r w:rsidRPr="00F83442">
        <w:rPr>
          <w:sz w:val="20"/>
          <w:szCs w:val="20"/>
        </w:rPr>
        <w:t>Zhai</w:t>
      </w:r>
      <w:proofErr w:type="spellEnd"/>
      <w:r w:rsidRPr="00F83442">
        <w:rPr>
          <w:sz w:val="20"/>
          <w:szCs w:val="20"/>
        </w:rPr>
        <w:t xml:space="preserve">, R. Slade, S. Connors, R. van Diemen, M. </w:t>
      </w:r>
      <w:proofErr w:type="spellStart"/>
      <w:r w:rsidRPr="00F83442">
        <w:rPr>
          <w:sz w:val="20"/>
          <w:szCs w:val="20"/>
        </w:rPr>
        <w:t>Ferrat</w:t>
      </w:r>
      <w:proofErr w:type="spellEnd"/>
      <w:r w:rsidRPr="00F83442">
        <w:rPr>
          <w:sz w:val="20"/>
          <w:szCs w:val="20"/>
        </w:rPr>
        <w:t xml:space="preserve">, E. </w:t>
      </w:r>
      <w:proofErr w:type="spellStart"/>
      <w:r w:rsidRPr="00F83442">
        <w:rPr>
          <w:sz w:val="20"/>
          <w:szCs w:val="20"/>
        </w:rPr>
        <w:t>Haughey</w:t>
      </w:r>
      <w:proofErr w:type="spellEnd"/>
      <w:r w:rsidRPr="00F83442">
        <w:rPr>
          <w:sz w:val="20"/>
          <w:szCs w:val="20"/>
        </w:rPr>
        <w:t xml:space="preserve">, S. Luz, S. </w:t>
      </w:r>
      <w:proofErr w:type="spellStart"/>
      <w:r w:rsidRPr="00F83442">
        <w:rPr>
          <w:sz w:val="20"/>
          <w:szCs w:val="20"/>
        </w:rPr>
        <w:t>Neogi</w:t>
      </w:r>
      <w:proofErr w:type="spellEnd"/>
      <w:r w:rsidRPr="00F83442">
        <w:rPr>
          <w:sz w:val="20"/>
          <w:szCs w:val="20"/>
        </w:rPr>
        <w:t xml:space="preserve">, M. Pathak, J. </w:t>
      </w:r>
      <w:proofErr w:type="spellStart"/>
      <w:r w:rsidRPr="00F83442">
        <w:rPr>
          <w:sz w:val="20"/>
          <w:szCs w:val="20"/>
        </w:rPr>
        <w:t>Petzold</w:t>
      </w:r>
      <w:proofErr w:type="spellEnd"/>
      <w:r w:rsidRPr="00F83442">
        <w:rPr>
          <w:sz w:val="20"/>
          <w:szCs w:val="20"/>
        </w:rPr>
        <w:t xml:space="preserve">, J. Portugal Pereira, P. Vyas, E. Huntley, K. </w:t>
      </w:r>
      <w:proofErr w:type="spellStart"/>
      <w:r w:rsidRPr="00F83442">
        <w:rPr>
          <w:sz w:val="20"/>
          <w:szCs w:val="20"/>
        </w:rPr>
        <w:t>Kissick</w:t>
      </w:r>
      <w:proofErr w:type="spellEnd"/>
      <w:r w:rsidRPr="00F83442">
        <w:rPr>
          <w:sz w:val="20"/>
          <w:szCs w:val="20"/>
        </w:rPr>
        <w:t xml:space="preserve">, M. </w:t>
      </w:r>
      <w:proofErr w:type="spellStart"/>
      <w:r w:rsidRPr="00F83442">
        <w:rPr>
          <w:sz w:val="20"/>
          <w:szCs w:val="20"/>
        </w:rPr>
        <w:t>Belkacemi</w:t>
      </w:r>
      <w:proofErr w:type="spellEnd"/>
      <w:r w:rsidRPr="00F83442">
        <w:rPr>
          <w:sz w:val="20"/>
          <w:szCs w:val="20"/>
        </w:rPr>
        <w:t>, J. Malley, (eds.)].</w:t>
      </w:r>
    </w:p>
    <w:p w:rsidR="006A5250" w:rsidRPr="00F83442" w:rsidRDefault="00211C1B" w:rsidP="000F655E">
      <w:pPr>
        <w:pStyle w:val="FootnoteText"/>
      </w:pPr>
      <w:hyperlink r:id="rId1" w:history="1">
        <w:r w:rsidR="006A5250" w:rsidRPr="00F83442">
          <w:rPr>
            <w:rStyle w:val="Hyperlink"/>
          </w:rPr>
          <w:t>https://www.ipcc.ch/site/assets/uploads/sites/4/2020/02/SPM_Updated-Jan20.pdf</w:t>
        </w:r>
      </w:hyperlink>
    </w:p>
  </w:footnote>
  <w:footnote w:id="8">
    <w:p w:rsidR="006A5250" w:rsidRPr="00F83442" w:rsidRDefault="006A5250" w:rsidP="000F655E">
      <w:pPr>
        <w:pStyle w:val="FootnoteText"/>
      </w:pPr>
      <w:r w:rsidRPr="00F83442">
        <w:rPr>
          <w:rStyle w:val="FootnoteReference"/>
        </w:rPr>
        <w:footnoteRef/>
      </w:r>
      <w:r w:rsidRPr="00F83442">
        <w:t xml:space="preserve"> IPCC at note 62. At 61.</w:t>
      </w:r>
    </w:p>
    <w:p w:rsidR="006A5250" w:rsidRPr="00F83442" w:rsidRDefault="006A5250" w:rsidP="006A5250">
      <w:pPr>
        <w:autoSpaceDE w:val="0"/>
        <w:autoSpaceDN w:val="0"/>
        <w:adjustRightInd w:val="0"/>
        <w:rPr>
          <w:sz w:val="20"/>
          <w:szCs w:val="20"/>
          <w:lang w:val="en-US"/>
        </w:rPr>
      </w:pPr>
      <w:r w:rsidRPr="00F83442">
        <w:rPr>
          <w:sz w:val="20"/>
          <w:szCs w:val="20"/>
          <w:lang w:val="en-US"/>
        </w:rPr>
        <w:t xml:space="preserve">Bates, B.C., Z.W. </w:t>
      </w:r>
      <w:proofErr w:type="spellStart"/>
      <w:r w:rsidRPr="00F83442">
        <w:rPr>
          <w:sz w:val="20"/>
          <w:szCs w:val="20"/>
          <w:lang w:val="en-US"/>
        </w:rPr>
        <w:t>Kundzewicz</w:t>
      </w:r>
      <w:proofErr w:type="spellEnd"/>
      <w:r w:rsidRPr="00F83442">
        <w:rPr>
          <w:sz w:val="20"/>
          <w:szCs w:val="20"/>
          <w:lang w:val="en-US"/>
        </w:rPr>
        <w:t xml:space="preserve">, S. Wu and J.P. </w:t>
      </w:r>
      <w:proofErr w:type="spellStart"/>
      <w:r w:rsidRPr="00F83442">
        <w:rPr>
          <w:sz w:val="20"/>
          <w:szCs w:val="20"/>
          <w:lang w:val="en-US"/>
        </w:rPr>
        <w:t>Palutikof</w:t>
      </w:r>
      <w:proofErr w:type="spellEnd"/>
      <w:r w:rsidRPr="00F83442">
        <w:rPr>
          <w:sz w:val="20"/>
          <w:szCs w:val="20"/>
          <w:lang w:val="en-US"/>
        </w:rPr>
        <w:t>, Eds., 2008: Climate Change and Water. Technical</w:t>
      </w:r>
    </w:p>
    <w:p w:rsidR="006A5250" w:rsidRPr="00F83442" w:rsidRDefault="006A5250" w:rsidP="000F655E">
      <w:pPr>
        <w:pStyle w:val="FootnoteText"/>
      </w:pPr>
      <w:r w:rsidRPr="00F83442">
        <w:t>Paper of the Intergovernmental Panel on Climate Change, IPCC Secretariat, Geneva, 210 pp.</w:t>
      </w:r>
    </w:p>
  </w:footnote>
  <w:footnote w:id="9">
    <w:p w:rsidR="006A5250" w:rsidRPr="00F83442" w:rsidRDefault="006A5250" w:rsidP="000F655E">
      <w:pPr>
        <w:pStyle w:val="FootnoteText"/>
      </w:pPr>
      <w:r w:rsidRPr="00F83442">
        <w:rPr>
          <w:rStyle w:val="FootnoteReference"/>
        </w:rPr>
        <w:footnoteRef/>
      </w:r>
      <w:r w:rsidRPr="00F83442">
        <w:t xml:space="preserve"> </w:t>
      </w:r>
      <w:proofErr w:type="spellStart"/>
      <w:r w:rsidRPr="00F83442">
        <w:t>Randerson</w:t>
      </w:r>
      <w:proofErr w:type="spellEnd"/>
      <w:r w:rsidRPr="00F83442">
        <w:t xml:space="preserve"> </w:t>
      </w:r>
      <w:r w:rsidRPr="00F83442">
        <w:rPr>
          <w:i/>
        </w:rPr>
        <w:t xml:space="preserve">New </w:t>
      </w:r>
      <w:proofErr w:type="spellStart"/>
      <w:r w:rsidRPr="00F83442">
        <w:rPr>
          <w:i/>
        </w:rPr>
        <w:t>Directtions</w:t>
      </w:r>
      <w:proofErr w:type="spellEnd"/>
      <w:r w:rsidRPr="00F83442">
        <w:t xml:space="preserve"> 2020 at 187</w:t>
      </w:r>
    </w:p>
  </w:footnote>
  <w:footnote w:id="10">
    <w:p w:rsidR="006A5250" w:rsidRPr="00F83442" w:rsidRDefault="006A5250" w:rsidP="000F655E">
      <w:pPr>
        <w:pStyle w:val="FootnoteText"/>
      </w:pPr>
      <w:r w:rsidRPr="00F83442">
        <w:rPr>
          <w:rStyle w:val="FootnoteReference"/>
          <w:color w:val="000000" w:themeColor="text1"/>
        </w:rPr>
        <w:footnoteRef/>
      </w:r>
      <w:r w:rsidRPr="00F83442">
        <w:t xml:space="preserve"> OECD </w:t>
      </w:r>
      <w:r w:rsidRPr="00F83442">
        <w:rPr>
          <w:i/>
          <w:iCs/>
        </w:rPr>
        <w:t>Water Resources Allocation: Sharing Risks and Opportunities</w:t>
      </w:r>
      <w:r w:rsidRPr="00F83442">
        <w:t xml:space="preserve"> (2015) OECD Studies on Water at 105 </w:t>
      </w:r>
      <w:r w:rsidR="00AE4D05">
        <w:t>ff</w:t>
      </w:r>
      <w:r w:rsidRPr="00F83442">
        <w:t xml:space="preserve">. </w:t>
      </w:r>
    </w:p>
  </w:footnote>
  <w:footnote w:id="11">
    <w:p w:rsidR="006A5250" w:rsidRPr="00F83442" w:rsidRDefault="006A5250" w:rsidP="000F655E">
      <w:pPr>
        <w:pStyle w:val="FootnoteText"/>
      </w:pPr>
      <w:r w:rsidRPr="00F83442">
        <w:rPr>
          <w:rStyle w:val="FootnoteReference"/>
          <w:color w:val="000000" w:themeColor="text1"/>
        </w:rPr>
        <w:footnoteRef/>
      </w:r>
      <w:r w:rsidRPr="00F83442">
        <w:t xml:space="preserve"> See Resource Management Amendment Act 2020</w:t>
      </w:r>
      <w:r w:rsidRPr="00F83442">
        <w:rPr>
          <w:rStyle w:val="ssleftalign"/>
          <w:color w:val="000000" w:themeColor="text1"/>
        </w:rPr>
        <w:t>.</w:t>
      </w:r>
    </w:p>
  </w:footnote>
  <w:footnote w:id="12">
    <w:p w:rsidR="006A5250" w:rsidRPr="00F83442" w:rsidRDefault="006A5250" w:rsidP="000F655E">
      <w:pPr>
        <w:pStyle w:val="FootnoteText"/>
      </w:pPr>
      <w:r w:rsidRPr="00F83442">
        <w:rPr>
          <w:rStyle w:val="FootnoteReference"/>
          <w:color w:val="000000" w:themeColor="text1"/>
        </w:rPr>
        <w:footnoteRef/>
      </w:r>
      <w:r w:rsidRPr="00F83442">
        <w:t xml:space="preserve"> R </w:t>
      </w:r>
      <w:proofErr w:type="spellStart"/>
      <w:r w:rsidRPr="00F83442">
        <w:t>Oram</w:t>
      </w:r>
      <w:proofErr w:type="spellEnd"/>
      <w:r w:rsidRPr="00F83442">
        <w:t xml:space="preserve"> “Now we can see our future” </w:t>
      </w:r>
      <w:r w:rsidRPr="00F83442">
        <w:rPr>
          <w:i/>
          <w:iCs/>
        </w:rPr>
        <w:t>Newsroom</w:t>
      </w:r>
      <w:r w:rsidRPr="00F83442">
        <w:t xml:space="preserve"> (online </w:t>
      </w:r>
      <w:proofErr w:type="spellStart"/>
      <w:r w:rsidRPr="00F83442">
        <w:t>ed</w:t>
      </w:r>
      <w:proofErr w:type="spellEnd"/>
      <w:r w:rsidRPr="00F83442">
        <w:t xml:space="preserve">, 12 July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CEA"/>
    <w:multiLevelType w:val="hybridMultilevel"/>
    <w:tmpl w:val="C41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50"/>
    <w:rsid w:val="000F655E"/>
    <w:rsid w:val="00211C1B"/>
    <w:rsid w:val="00245DB8"/>
    <w:rsid w:val="00265B5B"/>
    <w:rsid w:val="00287B7D"/>
    <w:rsid w:val="002C2D9A"/>
    <w:rsid w:val="002D5896"/>
    <w:rsid w:val="002E2CE5"/>
    <w:rsid w:val="00385DFC"/>
    <w:rsid w:val="003F64E2"/>
    <w:rsid w:val="00424A90"/>
    <w:rsid w:val="00480CCB"/>
    <w:rsid w:val="00482374"/>
    <w:rsid w:val="00540D6A"/>
    <w:rsid w:val="00572899"/>
    <w:rsid w:val="005D1C8A"/>
    <w:rsid w:val="005F5BE7"/>
    <w:rsid w:val="005F644C"/>
    <w:rsid w:val="00625CBB"/>
    <w:rsid w:val="0063115A"/>
    <w:rsid w:val="00670103"/>
    <w:rsid w:val="006A5250"/>
    <w:rsid w:val="006F7C17"/>
    <w:rsid w:val="00732679"/>
    <w:rsid w:val="00734613"/>
    <w:rsid w:val="00793D1C"/>
    <w:rsid w:val="007B6164"/>
    <w:rsid w:val="008230A9"/>
    <w:rsid w:val="008A7F9A"/>
    <w:rsid w:val="00903EC7"/>
    <w:rsid w:val="00AE4D05"/>
    <w:rsid w:val="00B516E8"/>
    <w:rsid w:val="00C8036E"/>
    <w:rsid w:val="00CA293E"/>
    <w:rsid w:val="00D35F1D"/>
    <w:rsid w:val="00E43B94"/>
    <w:rsid w:val="00EA55FA"/>
    <w:rsid w:val="00F83442"/>
    <w:rsid w:val="00FB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5F390C0-B72B-7B49-BDE8-B966B6A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15A"/>
    <w:rPr>
      <w:rFonts w:ascii="Times New Roman" w:eastAsia="Times New Roman" w:hAnsi="Times New Roman" w:cs="Times New Roman"/>
      <w:lang w:val="en-NZ"/>
    </w:rPr>
  </w:style>
  <w:style w:type="paragraph" w:styleId="Heading2">
    <w:name w:val="heading 2"/>
    <w:basedOn w:val="Normal"/>
    <w:next w:val="Normal"/>
    <w:link w:val="Heading2Char"/>
    <w:uiPriority w:val="9"/>
    <w:unhideWhenUsed/>
    <w:qFormat/>
    <w:rsid w:val="006A5250"/>
    <w:pPr>
      <w:spacing w:line="276" w:lineRule="auto"/>
      <w:jc w:val="both"/>
      <w:outlineLvl w:val="1"/>
    </w:pPr>
    <w:rPr>
      <w:rFonts w:eastAsiaTheme="minorHAnsi"/>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mal + Times: 9 Point,p,Footnote Text Char1 Char,Footnote Text Char Char Char,Footnote Text Char1 Char Char Char,Footnote Text Char Char Char Char Char,Footnote Text Char1 Char Char Char Char Char,Footnote Text Char1"/>
    <w:link w:val="FootnoteTextChar"/>
    <w:autoRedefine/>
    <w:uiPriority w:val="99"/>
    <w:unhideWhenUsed/>
    <w:qFormat/>
    <w:rsid w:val="000F655E"/>
    <w:pPr>
      <w:ind w:right="-194"/>
    </w:pPr>
    <w:rPr>
      <w:rFonts w:ascii="Times New Roman" w:eastAsia="SimSun" w:hAnsi="Times New Roman" w:cs="Times New Roman"/>
      <w:color w:val="000000"/>
      <w:sz w:val="20"/>
      <w:szCs w:val="20"/>
      <w:lang w:val="en-NZ" w:eastAsia="ar-SA"/>
    </w:rPr>
  </w:style>
  <w:style w:type="character" w:customStyle="1" w:styleId="FootnoteTextChar">
    <w:name w:val="Footnote Text Char"/>
    <w:aliases w:val="Normal + Times: 9 Point Char,p Char,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0F655E"/>
    <w:rPr>
      <w:rFonts w:ascii="Times New Roman" w:eastAsia="SimSun" w:hAnsi="Times New Roman" w:cs="Times New Roman"/>
      <w:color w:val="000000"/>
      <w:sz w:val="20"/>
      <w:szCs w:val="20"/>
      <w:lang w:val="en-NZ" w:eastAsia="ar-SA"/>
    </w:rPr>
  </w:style>
  <w:style w:type="character" w:styleId="FootnoteReference">
    <w:name w:val="footnote reference"/>
    <w:uiPriority w:val="99"/>
    <w:unhideWhenUsed/>
    <w:qFormat/>
    <w:rsid w:val="006A5250"/>
    <w:rPr>
      <w:rFonts w:ascii="Times New Roman" w:hAnsi="Times New Roman"/>
      <w:sz w:val="20"/>
      <w:vertAlign w:val="superscript"/>
    </w:rPr>
  </w:style>
  <w:style w:type="character" w:styleId="CommentReference">
    <w:name w:val="annotation reference"/>
    <w:basedOn w:val="DefaultParagraphFont"/>
    <w:uiPriority w:val="99"/>
    <w:semiHidden/>
    <w:unhideWhenUsed/>
    <w:rsid w:val="006A5250"/>
    <w:rPr>
      <w:sz w:val="16"/>
      <w:szCs w:val="16"/>
    </w:rPr>
  </w:style>
  <w:style w:type="paragraph" w:styleId="CommentText">
    <w:name w:val="annotation text"/>
    <w:basedOn w:val="Normal"/>
    <w:link w:val="CommentTextChar"/>
    <w:uiPriority w:val="99"/>
    <w:unhideWhenUsed/>
    <w:rsid w:val="006A5250"/>
    <w:pPr>
      <w:jc w:val="both"/>
    </w:pPr>
    <w:rPr>
      <w:rFonts w:eastAsiaTheme="minorHAnsi"/>
      <w:sz w:val="20"/>
      <w:szCs w:val="20"/>
      <w:lang w:val="en-US"/>
    </w:rPr>
  </w:style>
  <w:style w:type="character" w:customStyle="1" w:styleId="CommentTextChar">
    <w:name w:val="Comment Text Char"/>
    <w:basedOn w:val="DefaultParagraphFont"/>
    <w:link w:val="CommentText"/>
    <w:uiPriority w:val="99"/>
    <w:rsid w:val="006A5250"/>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6A5250"/>
    <w:rPr>
      <w:sz w:val="18"/>
      <w:szCs w:val="18"/>
    </w:rPr>
  </w:style>
  <w:style w:type="character" w:customStyle="1" w:styleId="BalloonTextChar">
    <w:name w:val="Balloon Text Char"/>
    <w:basedOn w:val="DefaultParagraphFont"/>
    <w:link w:val="BalloonText"/>
    <w:uiPriority w:val="99"/>
    <w:semiHidden/>
    <w:rsid w:val="006A5250"/>
    <w:rPr>
      <w:rFonts w:ascii="Times New Roman" w:hAnsi="Times New Roman" w:cs="Times New Roman"/>
      <w:sz w:val="18"/>
      <w:szCs w:val="18"/>
    </w:rPr>
  </w:style>
  <w:style w:type="character" w:customStyle="1" w:styleId="Heading2Char">
    <w:name w:val="Heading 2 Char"/>
    <w:basedOn w:val="DefaultParagraphFont"/>
    <w:link w:val="Heading2"/>
    <w:uiPriority w:val="9"/>
    <w:rsid w:val="006A5250"/>
    <w:rPr>
      <w:rFonts w:ascii="Times New Roman" w:hAnsi="Times New Roman" w:cs="Times New Roman"/>
      <w:i/>
      <w:iCs/>
      <w:sz w:val="28"/>
      <w:szCs w:val="28"/>
      <w:lang w:val="en-US"/>
    </w:rPr>
  </w:style>
  <w:style w:type="character" w:styleId="Hyperlink">
    <w:name w:val="Hyperlink"/>
    <w:basedOn w:val="DefaultParagraphFont"/>
    <w:uiPriority w:val="99"/>
    <w:unhideWhenUsed/>
    <w:rsid w:val="006A5250"/>
    <w:rPr>
      <w:color w:val="0000FF"/>
      <w:u w:val="single"/>
    </w:rPr>
  </w:style>
  <w:style w:type="character" w:customStyle="1" w:styleId="ssleftalign">
    <w:name w:val="ss_leftalign"/>
    <w:basedOn w:val="DefaultParagraphFont"/>
    <w:rsid w:val="006A5250"/>
  </w:style>
  <w:style w:type="paragraph" w:styleId="ListParagraph">
    <w:name w:val="List Paragraph"/>
    <w:basedOn w:val="Normal"/>
    <w:link w:val="ListParagraphChar"/>
    <w:uiPriority w:val="34"/>
    <w:qFormat/>
    <w:rsid w:val="003F64E2"/>
    <w:pPr>
      <w:suppressAutoHyphens/>
      <w:spacing w:line="276" w:lineRule="auto"/>
      <w:ind w:left="720"/>
      <w:jc w:val="both"/>
    </w:pPr>
    <w:rPr>
      <w:rFonts w:eastAsia="SimSun"/>
      <w:color w:val="000000"/>
      <w:lang w:val="en-US" w:eastAsia="ar-SA"/>
    </w:rPr>
  </w:style>
  <w:style w:type="character" w:customStyle="1" w:styleId="ListParagraphChar">
    <w:name w:val="List Paragraph Char"/>
    <w:link w:val="ListParagraph"/>
    <w:uiPriority w:val="34"/>
    <w:rsid w:val="003F64E2"/>
    <w:rPr>
      <w:rFonts w:ascii="Times New Roman" w:eastAsia="SimSun" w:hAnsi="Times New Roman" w:cs="Times New Roman"/>
      <w:color w:val="000000"/>
      <w:lang w:val="en-US" w:eastAsia="ar-SA"/>
    </w:rPr>
  </w:style>
  <w:style w:type="paragraph" w:styleId="Footer">
    <w:name w:val="footer"/>
    <w:basedOn w:val="Normal"/>
    <w:link w:val="FooterChar"/>
    <w:uiPriority w:val="99"/>
    <w:unhideWhenUsed/>
    <w:rsid w:val="007B6164"/>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7B6164"/>
  </w:style>
  <w:style w:type="character" w:styleId="PageNumber">
    <w:name w:val="page number"/>
    <w:basedOn w:val="DefaultParagraphFont"/>
    <w:uiPriority w:val="99"/>
    <w:semiHidden/>
    <w:unhideWhenUsed/>
    <w:rsid w:val="007B6164"/>
  </w:style>
  <w:style w:type="character" w:styleId="UnresolvedMention">
    <w:name w:val="Unresolved Mention"/>
    <w:basedOn w:val="DefaultParagraphFont"/>
    <w:uiPriority w:val="99"/>
    <w:rsid w:val="0063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san@respons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pcc.ch/site/assets/uploads/sites/4/2020/02/SPM_Updated-Ja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Betsan</dc:creator>
  <cp:keywords/>
  <dc:description/>
  <cp:lastModifiedBy>Martin Betsan</cp:lastModifiedBy>
  <cp:revision>8</cp:revision>
  <cp:lastPrinted>2021-04-05T10:36:00Z</cp:lastPrinted>
  <dcterms:created xsi:type="dcterms:W3CDTF">2021-04-03T21:34:00Z</dcterms:created>
  <dcterms:modified xsi:type="dcterms:W3CDTF">2021-04-05T11:06:00Z</dcterms:modified>
</cp:coreProperties>
</file>